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145B8" w14:textId="525C876C" w:rsidR="00743A45" w:rsidRPr="00743A45" w:rsidRDefault="00743A45" w:rsidP="00743A45">
      <w:p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bCs/>
          <w:sz w:val="22"/>
          <w:szCs w:val="22"/>
          <w:lang w:val="en-US"/>
        </w:rPr>
      </w:pPr>
      <w:r w:rsidRPr="00743A45">
        <w:rPr>
          <w:b/>
          <w:bCs/>
          <w:sz w:val="22"/>
          <w:szCs w:val="22"/>
          <w:lang w:val="en-US"/>
        </w:rPr>
        <w:t>University of British Columbia</w:t>
      </w:r>
    </w:p>
    <w:p w14:paraId="6775B1B0" w14:textId="77777777" w:rsidR="00743A45" w:rsidRDefault="00743A45" w:rsidP="00743A45">
      <w:p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b/>
          <w:szCs w:val="20"/>
        </w:rPr>
      </w:pPr>
    </w:p>
    <w:p w14:paraId="2F2CCF9F" w14:textId="63C6AD94" w:rsidR="006A7687" w:rsidRPr="006A7687" w:rsidRDefault="00A77FD2" w:rsidP="006A7687">
      <w:p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b/>
          <w:sz w:val="22"/>
          <w:szCs w:val="22"/>
        </w:rPr>
      </w:pPr>
      <w:r w:rsidRPr="006A7687">
        <w:rPr>
          <w:rFonts w:cs="Arial"/>
          <w:b/>
          <w:sz w:val="22"/>
          <w:szCs w:val="22"/>
        </w:rPr>
        <w:t>PHILOSOPHY OF HISTORY</w:t>
      </w:r>
      <w:r w:rsidR="001C1C0A">
        <w:rPr>
          <w:rFonts w:cs="Arial"/>
          <w:b/>
          <w:sz w:val="22"/>
          <w:szCs w:val="22"/>
        </w:rPr>
        <w:t>: EVIDENCE &amp; NARRATIVE</w:t>
      </w:r>
      <w:r w:rsidRPr="006A7687">
        <w:rPr>
          <w:rFonts w:cs="Arial"/>
          <w:b/>
          <w:sz w:val="22"/>
          <w:szCs w:val="22"/>
        </w:rPr>
        <w:t xml:space="preserve"> </w:t>
      </w:r>
    </w:p>
    <w:p w14:paraId="5727F84F" w14:textId="77777777" w:rsidR="0023164E" w:rsidRDefault="0023164E" w:rsidP="006A7687">
      <w:p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b/>
          <w:sz w:val="22"/>
          <w:szCs w:val="22"/>
        </w:rPr>
      </w:pPr>
    </w:p>
    <w:p w14:paraId="7446BDBE" w14:textId="5281B99C" w:rsidR="006A7687" w:rsidRPr="006A7687" w:rsidRDefault="006A7687" w:rsidP="006A7687">
      <w:p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b/>
          <w:sz w:val="22"/>
          <w:szCs w:val="22"/>
        </w:rPr>
      </w:pPr>
      <w:r w:rsidRPr="006A7687">
        <w:rPr>
          <w:rFonts w:cs="Arial"/>
          <w:b/>
          <w:sz w:val="22"/>
          <w:szCs w:val="22"/>
        </w:rPr>
        <w:t xml:space="preserve">PHIL </w:t>
      </w:r>
      <w:r w:rsidR="001C1C0A">
        <w:rPr>
          <w:rFonts w:cs="Arial"/>
          <w:b/>
          <w:sz w:val="22"/>
          <w:szCs w:val="22"/>
        </w:rPr>
        <w:t>419 | Philosophy of History</w:t>
      </w:r>
    </w:p>
    <w:p w14:paraId="3B81ED11" w14:textId="60DB9EAF" w:rsidR="00EF4D41" w:rsidRPr="00E36737" w:rsidRDefault="007130D9" w:rsidP="00743A45">
      <w:p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cs="Arial"/>
          <w:szCs w:val="20"/>
        </w:rPr>
      </w:pPr>
      <w:r>
        <w:rPr>
          <w:rFonts w:cs="Arial"/>
          <w:szCs w:val="20"/>
        </w:rPr>
        <w:t xml:space="preserve">Winter </w:t>
      </w:r>
      <w:r w:rsidR="00E17A93">
        <w:rPr>
          <w:rFonts w:cs="Arial"/>
          <w:szCs w:val="20"/>
        </w:rPr>
        <w:t>20</w:t>
      </w:r>
      <w:r w:rsidR="001C1C0A">
        <w:rPr>
          <w:rFonts w:cs="Arial"/>
          <w:szCs w:val="20"/>
        </w:rPr>
        <w:t>20,</w:t>
      </w:r>
      <w:r w:rsidR="00E17A93">
        <w:rPr>
          <w:rFonts w:cs="Arial"/>
          <w:szCs w:val="20"/>
        </w:rPr>
        <w:t xml:space="preserve"> Term </w:t>
      </w:r>
      <w:r w:rsidR="001C1C0A">
        <w:rPr>
          <w:rFonts w:cs="Arial"/>
          <w:szCs w:val="20"/>
        </w:rPr>
        <w:t>2 (January-April 2021)</w:t>
      </w:r>
    </w:p>
    <w:p w14:paraId="5280A190" w14:textId="77777777" w:rsidR="006A7687" w:rsidRDefault="006A7687" w:rsidP="00EF4D41">
      <w:pPr>
        <w:rPr>
          <w:rFonts w:cs="Arial"/>
          <w:b/>
          <w:szCs w:val="20"/>
        </w:rPr>
      </w:pPr>
    </w:p>
    <w:p w14:paraId="0ACFED88" w14:textId="4075A96A" w:rsidR="00900E13" w:rsidRPr="00D7468C" w:rsidRDefault="00900E13" w:rsidP="00900E13">
      <w:pPr>
        <w:pStyle w:val="Arial"/>
        <w:rPr>
          <w:bCs/>
          <w:szCs w:val="20"/>
          <w:lang w:val="en-GB"/>
        </w:rPr>
      </w:pPr>
      <w:r w:rsidRPr="00D7468C">
        <w:rPr>
          <w:b/>
          <w:szCs w:val="20"/>
          <w:lang w:val="en-GB"/>
        </w:rPr>
        <w:t xml:space="preserve">Instructor: </w:t>
      </w:r>
      <w:r w:rsidRPr="00D7468C">
        <w:rPr>
          <w:bCs/>
          <w:szCs w:val="20"/>
          <w:lang w:val="en-GB"/>
        </w:rPr>
        <w:t xml:space="preserve">Professor Alison Wylie </w:t>
      </w:r>
      <w:r>
        <w:rPr>
          <w:bCs/>
          <w:szCs w:val="20"/>
          <w:lang w:val="en-GB"/>
        </w:rPr>
        <w:tab/>
      </w:r>
      <w:r>
        <w:rPr>
          <w:bCs/>
          <w:szCs w:val="20"/>
          <w:lang w:val="en-GB"/>
        </w:rPr>
        <w:tab/>
      </w:r>
      <w:r>
        <w:rPr>
          <w:bCs/>
          <w:szCs w:val="20"/>
          <w:lang w:val="en-GB"/>
        </w:rPr>
        <w:tab/>
      </w:r>
      <w:r>
        <w:rPr>
          <w:bCs/>
          <w:szCs w:val="20"/>
          <w:lang w:val="en-GB"/>
        </w:rPr>
        <w:tab/>
      </w:r>
      <w:r>
        <w:rPr>
          <w:b/>
          <w:szCs w:val="20"/>
          <w:lang w:val="en-GB"/>
        </w:rPr>
        <w:t>E</w:t>
      </w:r>
      <w:r w:rsidRPr="005E1474">
        <w:rPr>
          <w:b/>
          <w:szCs w:val="20"/>
          <w:lang w:val="en-GB"/>
        </w:rPr>
        <w:t>mail</w:t>
      </w:r>
      <w:r w:rsidRPr="00D7468C">
        <w:rPr>
          <w:b/>
          <w:szCs w:val="20"/>
          <w:lang w:val="en-GB"/>
        </w:rPr>
        <w:t>:</w:t>
      </w:r>
      <w:r w:rsidRPr="00D7468C">
        <w:rPr>
          <w:bCs/>
          <w:szCs w:val="20"/>
          <w:lang w:val="en-GB"/>
        </w:rPr>
        <w:t xml:space="preserve"> </w:t>
      </w:r>
      <w:hyperlink r:id="rId7" w:history="1">
        <w:r w:rsidRPr="00D7468C">
          <w:rPr>
            <w:rStyle w:val="Hyperlink"/>
            <w:bCs/>
            <w:szCs w:val="20"/>
            <w:lang w:val="en-GB"/>
          </w:rPr>
          <w:t>alison.wylie@ubc.ca</w:t>
        </w:r>
      </w:hyperlink>
    </w:p>
    <w:p w14:paraId="65D84316" w14:textId="77777777" w:rsidR="00900E13" w:rsidRPr="00D7468C" w:rsidRDefault="00900E13" w:rsidP="00900E13">
      <w:pPr>
        <w:pStyle w:val="Arial"/>
        <w:rPr>
          <w:b/>
          <w:szCs w:val="20"/>
          <w:lang w:val="en-GB"/>
        </w:rPr>
      </w:pPr>
      <w:r w:rsidRPr="00D7468C">
        <w:rPr>
          <w:b/>
          <w:szCs w:val="20"/>
          <w:lang w:val="en-GB"/>
        </w:rPr>
        <w:t xml:space="preserve">Class meetings: </w:t>
      </w:r>
      <w:r w:rsidRPr="00D7468C">
        <w:rPr>
          <w:bCs/>
          <w:szCs w:val="20"/>
          <w:lang w:val="en-GB"/>
        </w:rPr>
        <w:t>T</w:t>
      </w:r>
      <w:r>
        <w:rPr>
          <w:bCs/>
          <w:szCs w:val="20"/>
          <w:lang w:val="en-GB"/>
        </w:rPr>
        <w:t>/Th</w:t>
      </w:r>
      <w:r w:rsidRPr="00D7468C">
        <w:rPr>
          <w:bCs/>
          <w:szCs w:val="20"/>
          <w:lang w:val="en-GB"/>
        </w:rPr>
        <w:t xml:space="preserve"> 3:30-5:00 pm, MATH 204</w:t>
      </w:r>
      <w:r w:rsidRPr="00D7468C">
        <w:rPr>
          <w:b/>
          <w:szCs w:val="20"/>
          <w:lang w:val="en-GB"/>
        </w:rPr>
        <w:t xml:space="preserve"> </w:t>
      </w:r>
      <w:r>
        <w:rPr>
          <w:b/>
          <w:szCs w:val="20"/>
          <w:lang w:val="en-GB"/>
        </w:rPr>
        <w:tab/>
      </w:r>
      <w:r>
        <w:rPr>
          <w:b/>
          <w:szCs w:val="20"/>
          <w:lang w:val="en-GB"/>
        </w:rPr>
        <w:tab/>
      </w:r>
      <w:r w:rsidRPr="00D7468C">
        <w:rPr>
          <w:b/>
          <w:szCs w:val="20"/>
          <w:lang w:val="en-GB"/>
        </w:rPr>
        <w:t xml:space="preserve">Office: </w:t>
      </w:r>
      <w:r w:rsidRPr="00D7468C">
        <w:rPr>
          <w:szCs w:val="20"/>
          <w:lang w:val="en-GB"/>
        </w:rPr>
        <w:t>B</w:t>
      </w:r>
      <w:r>
        <w:rPr>
          <w:szCs w:val="20"/>
          <w:lang w:val="en-GB"/>
        </w:rPr>
        <w:t>UCH</w:t>
      </w:r>
      <w:r w:rsidRPr="00D7468C">
        <w:rPr>
          <w:szCs w:val="20"/>
          <w:lang w:val="en-GB"/>
        </w:rPr>
        <w:t xml:space="preserve"> E-276, (604) 822-6574</w:t>
      </w:r>
    </w:p>
    <w:p w14:paraId="68C7BBE9" w14:textId="16F947A7" w:rsidR="006A7687" w:rsidRPr="00900E13" w:rsidRDefault="00900E13" w:rsidP="00900E13">
      <w:pPr>
        <w:pStyle w:val="Arial"/>
        <w:rPr>
          <w:bCs/>
          <w:szCs w:val="20"/>
          <w:lang w:val="en-GB"/>
        </w:rPr>
      </w:pPr>
      <w:r w:rsidRPr="00D7468C">
        <w:rPr>
          <w:b/>
          <w:szCs w:val="20"/>
          <w:lang w:val="en-GB"/>
        </w:rPr>
        <w:t xml:space="preserve">Office hours: </w:t>
      </w:r>
      <w:r w:rsidRPr="00D7468C">
        <w:rPr>
          <w:bCs/>
          <w:szCs w:val="20"/>
          <w:lang w:val="en-GB"/>
        </w:rPr>
        <w:t>TBA &amp; by appointment</w:t>
      </w:r>
      <w:r>
        <w:rPr>
          <w:bCs/>
          <w:szCs w:val="20"/>
          <w:lang w:val="en-GB"/>
        </w:rPr>
        <w:tab/>
      </w:r>
      <w:r>
        <w:rPr>
          <w:bCs/>
          <w:szCs w:val="20"/>
          <w:lang w:val="en-GB"/>
        </w:rPr>
        <w:tab/>
      </w:r>
      <w:r>
        <w:rPr>
          <w:bCs/>
          <w:szCs w:val="20"/>
          <w:lang w:val="en-GB"/>
        </w:rPr>
        <w:tab/>
      </w:r>
      <w:r>
        <w:rPr>
          <w:bCs/>
          <w:szCs w:val="20"/>
          <w:lang w:val="en-GB"/>
        </w:rPr>
        <w:tab/>
      </w:r>
      <w:r>
        <w:rPr>
          <w:b/>
          <w:szCs w:val="20"/>
          <w:lang w:val="en-GB"/>
        </w:rPr>
        <w:t xml:space="preserve">Canvas website: </w:t>
      </w:r>
      <w:r>
        <w:rPr>
          <w:bCs/>
          <w:szCs w:val="20"/>
          <w:lang w:val="en-GB"/>
        </w:rPr>
        <w:t>TBA</w:t>
      </w:r>
    </w:p>
    <w:p w14:paraId="20DC67B5" w14:textId="77777777" w:rsidR="00900E13" w:rsidRDefault="00900E13" w:rsidP="00470B6A">
      <w:pPr>
        <w:rPr>
          <w:rFonts w:cs="Arial"/>
          <w:b/>
          <w:bCs/>
          <w:sz w:val="22"/>
          <w:szCs w:val="22"/>
          <w:lang w:val="en-US"/>
        </w:rPr>
      </w:pPr>
    </w:p>
    <w:p w14:paraId="4865B821" w14:textId="743E9B65" w:rsidR="006A7687" w:rsidRPr="006A7687" w:rsidRDefault="006A7687" w:rsidP="00470B6A">
      <w:pPr>
        <w:rPr>
          <w:rFonts w:cs="Arial"/>
          <w:b/>
          <w:bCs/>
          <w:sz w:val="22"/>
          <w:szCs w:val="22"/>
          <w:lang w:val="en-US"/>
        </w:rPr>
      </w:pPr>
      <w:r w:rsidRPr="006A7687">
        <w:rPr>
          <w:rFonts w:cs="Arial"/>
          <w:b/>
          <w:bCs/>
          <w:sz w:val="22"/>
          <w:szCs w:val="22"/>
          <w:lang w:val="en-US"/>
        </w:rPr>
        <w:t xml:space="preserve">Course overview </w:t>
      </w:r>
    </w:p>
    <w:p w14:paraId="01413886" w14:textId="77777777" w:rsidR="006A7687" w:rsidRDefault="006A7687" w:rsidP="00470B6A">
      <w:pPr>
        <w:rPr>
          <w:rFonts w:cs="Arial"/>
          <w:szCs w:val="20"/>
          <w:lang w:val="en-US"/>
        </w:rPr>
      </w:pPr>
    </w:p>
    <w:p w14:paraId="395FACFE" w14:textId="0AF3DF16" w:rsidR="00F54619" w:rsidRDefault="00F54619" w:rsidP="00F54619">
      <w:pPr>
        <w:pStyle w:val="Arial"/>
        <w:rPr>
          <w:szCs w:val="20"/>
        </w:rPr>
      </w:pPr>
      <w:r w:rsidRPr="00B92E8A">
        <w:rPr>
          <w:szCs w:val="20"/>
        </w:rPr>
        <w:t xml:space="preserve">How do we know what (we think) we know about the past? </w:t>
      </w:r>
      <w:r>
        <w:rPr>
          <w:szCs w:val="20"/>
        </w:rPr>
        <w:t xml:space="preserve"> What makes an historical </w:t>
      </w:r>
      <w:r>
        <w:rPr>
          <w:szCs w:val="20"/>
        </w:rPr>
        <w:t xml:space="preserve">narrative </w:t>
      </w:r>
      <w:r>
        <w:rPr>
          <w:szCs w:val="20"/>
        </w:rPr>
        <w:t>explanatory? And why does history matter? These questions about historical inquiry have long intrigued philosophers and practitioners alike</w:t>
      </w:r>
      <w:r>
        <w:rPr>
          <w:szCs w:val="20"/>
        </w:rPr>
        <w:t xml:space="preserve">; often they are framed in terms of contrasts between history and </w:t>
      </w:r>
      <w:r w:rsidR="00900E13">
        <w:rPr>
          <w:szCs w:val="20"/>
        </w:rPr>
        <w:t xml:space="preserve">(experimental) </w:t>
      </w:r>
      <w:r>
        <w:rPr>
          <w:szCs w:val="20"/>
        </w:rPr>
        <w:t xml:space="preserve">science, and animated by epistemic anxiety about whether claims about the past can ever be more than speculation. </w:t>
      </w:r>
      <w:r w:rsidR="00CF77AA">
        <w:rPr>
          <w:szCs w:val="20"/>
        </w:rPr>
        <w:t xml:space="preserve">We </w:t>
      </w:r>
      <w:r>
        <w:rPr>
          <w:szCs w:val="20"/>
        </w:rPr>
        <w:t xml:space="preserve">will focus on </w:t>
      </w:r>
      <w:r>
        <w:rPr>
          <w:szCs w:val="20"/>
        </w:rPr>
        <w:t xml:space="preserve">philosophical accounts of evidential reasoning and </w:t>
      </w:r>
      <w:r>
        <w:rPr>
          <w:szCs w:val="20"/>
        </w:rPr>
        <w:t>narrative</w:t>
      </w:r>
      <w:r w:rsidR="00CF77AA">
        <w:rPr>
          <w:szCs w:val="20"/>
        </w:rPr>
        <w:t xml:space="preserve"> construction</w:t>
      </w:r>
      <w:r>
        <w:rPr>
          <w:szCs w:val="20"/>
        </w:rPr>
        <w:t xml:space="preserve"> </w:t>
      </w:r>
      <w:r w:rsidR="00407204">
        <w:rPr>
          <w:szCs w:val="20"/>
        </w:rPr>
        <w:t>in</w:t>
      </w:r>
      <w:r>
        <w:rPr>
          <w:szCs w:val="20"/>
        </w:rPr>
        <w:t xml:space="preserve"> histor</w:t>
      </w:r>
      <w:r w:rsidR="00407204">
        <w:rPr>
          <w:szCs w:val="20"/>
        </w:rPr>
        <w:t>y</w:t>
      </w:r>
      <w:r>
        <w:rPr>
          <w:szCs w:val="20"/>
        </w:rPr>
        <w:t xml:space="preserve"> and archaeolog</w:t>
      </w:r>
      <w:r w:rsidR="00407204">
        <w:rPr>
          <w:szCs w:val="20"/>
        </w:rPr>
        <w:t>y</w:t>
      </w:r>
      <w:r>
        <w:rPr>
          <w:szCs w:val="20"/>
        </w:rPr>
        <w:t xml:space="preserve">, with some comparative examples drawn from the philosophy of </w:t>
      </w:r>
      <w:r w:rsidRPr="00B92E8A">
        <w:rPr>
          <w:szCs w:val="20"/>
        </w:rPr>
        <w:t>geology</w:t>
      </w:r>
      <w:r>
        <w:rPr>
          <w:szCs w:val="20"/>
        </w:rPr>
        <w:t xml:space="preserve">, evolutionary biology and </w:t>
      </w:r>
      <w:r w:rsidRPr="00B92E8A">
        <w:rPr>
          <w:szCs w:val="20"/>
        </w:rPr>
        <w:t>paleontology</w:t>
      </w:r>
      <w:r>
        <w:rPr>
          <w:szCs w:val="20"/>
        </w:rPr>
        <w:t xml:space="preserve">. </w:t>
      </w:r>
    </w:p>
    <w:p w14:paraId="0BDC69EE" w14:textId="0556E543" w:rsidR="00F54619" w:rsidRDefault="00F54619" w:rsidP="00F54619">
      <w:pPr>
        <w:pStyle w:val="Arial"/>
        <w:rPr>
          <w:szCs w:val="20"/>
        </w:rPr>
      </w:pPr>
    </w:p>
    <w:p w14:paraId="06855111" w14:textId="742E94FC" w:rsidR="00CF77AA" w:rsidRPr="006A7687" w:rsidRDefault="00CF77AA" w:rsidP="00CF77AA">
      <w:pPr>
        <w:rPr>
          <w:rFonts w:cs="Arial"/>
          <w:i/>
          <w:iCs/>
          <w:szCs w:val="20"/>
          <w:lang w:val="en-US"/>
        </w:rPr>
      </w:pPr>
      <w:r>
        <w:rPr>
          <w:rFonts w:cs="Arial"/>
          <w:szCs w:val="20"/>
          <w:lang w:val="en-US"/>
        </w:rPr>
        <w:t xml:space="preserve">Our point of departure will </w:t>
      </w:r>
      <w:r w:rsidR="00900E13">
        <w:rPr>
          <w:rFonts w:cs="Arial"/>
          <w:szCs w:val="20"/>
          <w:lang w:val="en-US"/>
        </w:rPr>
        <w:t xml:space="preserve">be </w:t>
      </w:r>
      <w:r w:rsidR="004524AA">
        <w:rPr>
          <w:rFonts w:cs="Arial"/>
          <w:szCs w:val="20"/>
          <w:lang w:val="en-US"/>
        </w:rPr>
        <w:t xml:space="preserve">the arguments </w:t>
      </w:r>
      <w:r w:rsidR="00BD5937">
        <w:rPr>
          <w:rFonts w:cs="Arial"/>
          <w:szCs w:val="20"/>
          <w:lang w:val="en-US"/>
        </w:rPr>
        <w:t xml:space="preserve">for </w:t>
      </w:r>
      <w:r>
        <w:rPr>
          <w:rFonts w:cs="Arial"/>
          <w:szCs w:val="20"/>
          <w:lang w:val="en-US"/>
        </w:rPr>
        <w:t>reject</w:t>
      </w:r>
      <w:r w:rsidR="00BD5937">
        <w:rPr>
          <w:rFonts w:cs="Arial"/>
          <w:szCs w:val="20"/>
          <w:lang w:val="en-US"/>
        </w:rPr>
        <w:t>ing</w:t>
      </w:r>
      <w:r>
        <w:rPr>
          <w:rFonts w:cs="Arial"/>
          <w:szCs w:val="20"/>
          <w:lang w:val="en-US"/>
        </w:rPr>
        <w:t xml:space="preserve"> </w:t>
      </w:r>
      <w:r>
        <w:rPr>
          <w:rFonts w:cs="Arial"/>
          <w:szCs w:val="20"/>
          <w:lang w:val="en-US"/>
        </w:rPr>
        <w:t>conventional skepticism about historical knowledge</w:t>
      </w:r>
      <w:r w:rsidR="004524AA">
        <w:rPr>
          <w:rFonts w:cs="Arial"/>
          <w:szCs w:val="20"/>
          <w:lang w:val="en-US"/>
        </w:rPr>
        <w:t xml:space="preserve"> that </w:t>
      </w:r>
      <w:r w:rsidR="004524AA">
        <w:rPr>
          <w:rFonts w:cs="Arial"/>
          <w:szCs w:val="20"/>
          <w:lang w:val="en-US"/>
        </w:rPr>
        <w:t xml:space="preserve">Currie develops in </w:t>
      </w:r>
      <w:r w:rsidR="004524AA">
        <w:rPr>
          <w:rFonts w:cs="Arial"/>
          <w:i/>
          <w:iCs/>
          <w:szCs w:val="20"/>
          <w:lang w:val="en-US"/>
        </w:rPr>
        <w:t xml:space="preserve">Rock, Bone and Ruin </w:t>
      </w:r>
      <w:r w:rsidR="004524AA">
        <w:rPr>
          <w:rFonts w:cs="Arial"/>
          <w:szCs w:val="20"/>
          <w:lang w:val="en-US"/>
        </w:rPr>
        <w:t>(2018)</w:t>
      </w:r>
      <w:r>
        <w:rPr>
          <w:rFonts w:cs="Arial"/>
          <w:szCs w:val="20"/>
          <w:lang w:val="en-US"/>
        </w:rPr>
        <w:t xml:space="preserve">; he offers </w:t>
      </w:r>
      <w:r>
        <w:rPr>
          <w:rFonts w:cs="Arial"/>
          <w:szCs w:val="20"/>
          <w:lang w:val="en-US"/>
        </w:rPr>
        <w:t xml:space="preserve">a nuanced account of </w:t>
      </w:r>
      <w:r>
        <w:rPr>
          <w:rFonts w:cs="Arial"/>
          <w:szCs w:val="20"/>
          <w:lang w:val="en-US"/>
        </w:rPr>
        <w:t xml:space="preserve">a range of </w:t>
      </w:r>
      <w:r>
        <w:rPr>
          <w:rFonts w:cs="Arial"/>
          <w:szCs w:val="20"/>
          <w:lang w:val="en-US"/>
        </w:rPr>
        <w:t xml:space="preserve">strategies </w:t>
      </w:r>
      <w:r>
        <w:rPr>
          <w:rFonts w:cs="Arial"/>
          <w:szCs w:val="20"/>
          <w:lang w:val="en-US"/>
        </w:rPr>
        <w:t xml:space="preserve">that historical scientists developed to </w:t>
      </w:r>
      <w:r>
        <w:rPr>
          <w:rFonts w:cs="Arial"/>
          <w:szCs w:val="20"/>
          <w:lang w:val="en-US"/>
        </w:rPr>
        <w:t xml:space="preserve">address the methodological challenges </w:t>
      </w:r>
      <w:r>
        <w:rPr>
          <w:rFonts w:cs="Arial"/>
          <w:szCs w:val="20"/>
          <w:lang w:val="en-US"/>
        </w:rPr>
        <w:t>they face</w:t>
      </w:r>
      <w:r w:rsidR="00900E13">
        <w:rPr>
          <w:rFonts w:cs="Arial"/>
          <w:szCs w:val="20"/>
          <w:lang w:val="en-US"/>
        </w:rPr>
        <w:t xml:space="preserve"> in broad range of historical sciences</w:t>
      </w:r>
      <w:r>
        <w:rPr>
          <w:rFonts w:cs="Arial"/>
          <w:szCs w:val="20"/>
          <w:lang w:val="en-US"/>
        </w:rPr>
        <w:t xml:space="preserve">. </w:t>
      </w:r>
      <w:r w:rsidR="004524AA">
        <w:rPr>
          <w:rFonts w:cs="Arial"/>
          <w:szCs w:val="20"/>
          <w:lang w:val="en-US"/>
        </w:rPr>
        <w:t xml:space="preserve">Paired with this are selections from </w:t>
      </w:r>
      <w:r>
        <w:rPr>
          <w:rFonts w:cs="Arial"/>
          <w:i/>
          <w:iCs/>
          <w:szCs w:val="20"/>
          <w:lang w:val="en-US"/>
        </w:rPr>
        <w:t>Evidential Reasoning in Archaeology</w:t>
      </w:r>
      <w:r>
        <w:rPr>
          <w:rFonts w:cs="Arial"/>
          <w:szCs w:val="20"/>
          <w:lang w:val="en-US"/>
        </w:rPr>
        <w:t xml:space="preserve"> (2016) </w:t>
      </w:r>
      <w:r w:rsidR="004524AA">
        <w:rPr>
          <w:rFonts w:cs="Arial"/>
          <w:szCs w:val="20"/>
          <w:lang w:val="en-US"/>
        </w:rPr>
        <w:t xml:space="preserve">in which </w:t>
      </w:r>
      <w:r>
        <w:rPr>
          <w:rFonts w:cs="Arial"/>
          <w:szCs w:val="20"/>
          <w:lang w:val="en-US"/>
        </w:rPr>
        <w:t>Chapman and Wylie</w:t>
      </w:r>
      <w:r>
        <w:rPr>
          <w:rFonts w:cs="Arial"/>
          <w:szCs w:val="20"/>
          <w:lang w:val="en-US"/>
        </w:rPr>
        <w:t xml:space="preserve"> </w:t>
      </w:r>
      <w:r w:rsidR="00E522ED">
        <w:rPr>
          <w:rFonts w:cs="Arial"/>
          <w:szCs w:val="20"/>
          <w:lang w:val="en-US"/>
        </w:rPr>
        <w:t xml:space="preserve">articulate an </w:t>
      </w:r>
      <w:r w:rsidR="00900E13">
        <w:rPr>
          <w:rFonts w:cs="Arial"/>
          <w:szCs w:val="20"/>
          <w:lang w:val="en-US"/>
        </w:rPr>
        <w:t xml:space="preserve">epistemic </w:t>
      </w:r>
      <w:r w:rsidR="00BD5937">
        <w:rPr>
          <w:rFonts w:cs="Arial"/>
          <w:szCs w:val="20"/>
          <w:lang w:val="en-US"/>
        </w:rPr>
        <w:t xml:space="preserve">justification for </w:t>
      </w:r>
      <w:r>
        <w:rPr>
          <w:rFonts w:cs="Arial"/>
          <w:szCs w:val="20"/>
          <w:lang w:val="en-US"/>
        </w:rPr>
        <w:t xml:space="preserve">these strategies </w:t>
      </w:r>
      <w:r w:rsidR="00900E13">
        <w:rPr>
          <w:rFonts w:cs="Arial"/>
          <w:szCs w:val="20"/>
          <w:lang w:val="en-US"/>
        </w:rPr>
        <w:t xml:space="preserve">as they </w:t>
      </w:r>
      <w:r>
        <w:rPr>
          <w:rFonts w:cs="Arial"/>
          <w:szCs w:val="20"/>
          <w:lang w:val="en-US"/>
        </w:rPr>
        <w:t>have evolved</w:t>
      </w:r>
      <w:r w:rsidR="00900E13">
        <w:rPr>
          <w:rFonts w:cs="Arial"/>
          <w:szCs w:val="20"/>
          <w:lang w:val="en-US"/>
        </w:rPr>
        <w:t xml:space="preserve"> and are used in archaeological </w:t>
      </w:r>
      <w:r>
        <w:rPr>
          <w:rFonts w:cs="Arial"/>
          <w:szCs w:val="20"/>
          <w:lang w:val="en-US"/>
        </w:rPr>
        <w:t xml:space="preserve">research. </w:t>
      </w:r>
      <w:r>
        <w:rPr>
          <w:rFonts w:cs="Arial"/>
          <w:szCs w:val="20"/>
          <w:lang w:val="en-US"/>
        </w:rPr>
        <w:t xml:space="preserve">We then turn to questions about the nature of historical explanation and historical narrative that have been central to philosophy of history, framed in terms of newly urgent questions about the value and uses of history; the central texts here will be </w:t>
      </w:r>
      <w:r>
        <w:rPr>
          <w:rFonts w:cs="Arial"/>
          <w:szCs w:val="20"/>
          <w:lang w:val="en-US"/>
        </w:rPr>
        <w:t xml:space="preserve">a new book by Roth on </w:t>
      </w:r>
      <w:r>
        <w:rPr>
          <w:rFonts w:cs="Arial"/>
          <w:i/>
          <w:iCs/>
          <w:szCs w:val="20"/>
          <w:lang w:val="en-US"/>
        </w:rPr>
        <w:t xml:space="preserve">Philosophical Structure of Historical Explanation </w:t>
      </w:r>
      <w:r>
        <w:rPr>
          <w:rFonts w:cs="Arial"/>
          <w:szCs w:val="20"/>
          <w:lang w:val="en-US"/>
        </w:rPr>
        <w:t xml:space="preserve">(2020), </w:t>
      </w:r>
      <w:r w:rsidR="00E522ED">
        <w:rPr>
          <w:rFonts w:cs="Arial"/>
          <w:szCs w:val="20"/>
          <w:lang w:val="en-US"/>
        </w:rPr>
        <w:t xml:space="preserve">and </w:t>
      </w:r>
      <w:proofErr w:type="spellStart"/>
      <w:r>
        <w:rPr>
          <w:rFonts w:cs="Arial"/>
          <w:szCs w:val="20"/>
          <w:lang w:val="en-US"/>
        </w:rPr>
        <w:t>Trouillot’s</w:t>
      </w:r>
      <w:proofErr w:type="spellEnd"/>
      <w:r>
        <w:rPr>
          <w:rFonts w:cs="Arial"/>
          <w:szCs w:val="20"/>
          <w:lang w:val="en-US"/>
        </w:rPr>
        <w:t xml:space="preserve"> </w:t>
      </w:r>
      <w:r>
        <w:rPr>
          <w:rFonts w:cs="Arial"/>
          <w:i/>
          <w:szCs w:val="20"/>
          <w:lang w:val="en-US"/>
        </w:rPr>
        <w:t>Silencing the Past</w:t>
      </w:r>
      <w:r>
        <w:rPr>
          <w:rFonts w:cs="Arial"/>
          <w:szCs w:val="20"/>
          <w:lang w:val="en-US"/>
        </w:rPr>
        <w:t xml:space="preserve"> (1995).</w:t>
      </w:r>
      <w:r w:rsidR="009D02A2">
        <w:rPr>
          <w:rFonts w:cs="Arial"/>
          <w:szCs w:val="20"/>
          <w:lang w:val="en-US"/>
        </w:rPr>
        <w:t xml:space="preserve"> W</w:t>
      </w:r>
      <w:r>
        <w:rPr>
          <w:rFonts w:cs="Arial"/>
          <w:szCs w:val="20"/>
          <w:lang w:val="en-US"/>
        </w:rPr>
        <w:t xml:space="preserve">e close the term with a </w:t>
      </w:r>
      <w:r w:rsidR="00407204">
        <w:rPr>
          <w:rFonts w:cs="Arial"/>
          <w:szCs w:val="20"/>
          <w:lang w:val="en-US"/>
        </w:rPr>
        <w:t xml:space="preserve">sample </w:t>
      </w:r>
      <w:r>
        <w:rPr>
          <w:rFonts w:cs="Arial"/>
          <w:szCs w:val="20"/>
          <w:lang w:val="en-US"/>
        </w:rPr>
        <w:t xml:space="preserve">of readings </w:t>
      </w:r>
      <w:r w:rsidR="00407204">
        <w:rPr>
          <w:rFonts w:cs="Arial"/>
          <w:szCs w:val="20"/>
          <w:lang w:val="en-US"/>
        </w:rPr>
        <w:t xml:space="preserve">drawn from </w:t>
      </w:r>
      <w:r w:rsidR="009D02A2">
        <w:rPr>
          <w:rFonts w:cs="Arial"/>
          <w:szCs w:val="20"/>
          <w:lang w:val="en-US"/>
        </w:rPr>
        <w:t xml:space="preserve">current </w:t>
      </w:r>
      <w:r>
        <w:rPr>
          <w:rFonts w:cs="Arial"/>
          <w:szCs w:val="20"/>
          <w:lang w:val="en-US"/>
        </w:rPr>
        <w:t xml:space="preserve">debate about </w:t>
      </w:r>
      <w:r w:rsidR="00E522ED">
        <w:rPr>
          <w:rFonts w:cs="Arial"/>
          <w:szCs w:val="20"/>
          <w:lang w:val="en-US"/>
        </w:rPr>
        <w:t xml:space="preserve">the relationship between </w:t>
      </w:r>
      <w:r w:rsidR="009D02A2">
        <w:rPr>
          <w:rFonts w:cs="Arial"/>
          <w:szCs w:val="20"/>
          <w:lang w:val="en-US"/>
        </w:rPr>
        <w:t xml:space="preserve">Indigenous oral history </w:t>
      </w:r>
      <w:r w:rsidR="00E522ED">
        <w:rPr>
          <w:rFonts w:cs="Arial"/>
          <w:szCs w:val="20"/>
          <w:lang w:val="en-US"/>
        </w:rPr>
        <w:t>and archaeological accounts of the past</w:t>
      </w:r>
      <w:r>
        <w:rPr>
          <w:rFonts w:cs="Arial"/>
          <w:szCs w:val="20"/>
          <w:lang w:val="en-US"/>
        </w:rPr>
        <w:t xml:space="preserve">, and </w:t>
      </w:r>
      <w:r w:rsidR="00E522ED">
        <w:rPr>
          <w:rFonts w:cs="Arial"/>
          <w:szCs w:val="20"/>
          <w:lang w:val="en-US"/>
        </w:rPr>
        <w:t xml:space="preserve">about the central role </w:t>
      </w:r>
      <w:r w:rsidR="009D02A2">
        <w:rPr>
          <w:rFonts w:cs="Arial"/>
          <w:szCs w:val="20"/>
          <w:lang w:val="en-US"/>
        </w:rPr>
        <w:t xml:space="preserve">of </w:t>
      </w:r>
      <w:r>
        <w:rPr>
          <w:rFonts w:cs="Arial"/>
          <w:szCs w:val="20"/>
          <w:lang w:val="en-US"/>
        </w:rPr>
        <w:t xml:space="preserve">historical inquiry in processes of </w:t>
      </w:r>
      <w:r w:rsidR="009D02A2">
        <w:rPr>
          <w:rFonts w:cs="Arial"/>
          <w:szCs w:val="20"/>
          <w:lang w:val="en-US"/>
        </w:rPr>
        <w:t>truth and reconciliation.</w:t>
      </w:r>
      <w:r>
        <w:rPr>
          <w:rFonts w:cs="Arial"/>
          <w:szCs w:val="20"/>
          <w:lang w:val="en-US"/>
        </w:rPr>
        <w:t xml:space="preserve"> </w:t>
      </w:r>
    </w:p>
    <w:p w14:paraId="0871F664" w14:textId="77777777" w:rsidR="00F54619" w:rsidRDefault="00F54619" w:rsidP="00F54619">
      <w:pPr>
        <w:pStyle w:val="Arial"/>
        <w:rPr>
          <w:szCs w:val="20"/>
        </w:rPr>
      </w:pPr>
    </w:p>
    <w:p w14:paraId="76E6AF82" w14:textId="6D6555E3" w:rsidR="00F54619" w:rsidRDefault="00F54619" w:rsidP="00F54619">
      <w:pPr>
        <w:pStyle w:val="Arial"/>
        <w:rPr>
          <w:szCs w:val="20"/>
        </w:rPr>
      </w:pPr>
      <w:r>
        <w:rPr>
          <w:b/>
          <w:bCs/>
          <w:szCs w:val="20"/>
        </w:rPr>
        <w:t xml:space="preserve">Texts: </w:t>
      </w:r>
      <w:r>
        <w:rPr>
          <w:szCs w:val="20"/>
        </w:rPr>
        <w:t xml:space="preserve">Adrian </w:t>
      </w:r>
      <w:r w:rsidRPr="00B92E8A">
        <w:rPr>
          <w:szCs w:val="20"/>
        </w:rPr>
        <w:t>Currie</w:t>
      </w:r>
      <w:r>
        <w:rPr>
          <w:szCs w:val="20"/>
        </w:rPr>
        <w:t>,</w:t>
      </w:r>
      <w:r w:rsidRPr="00B92E8A">
        <w:rPr>
          <w:szCs w:val="20"/>
        </w:rPr>
        <w:t xml:space="preserve"> </w:t>
      </w:r>
      <w:r w:rsidRPr="00B92E8A">
        <w:rPr>
          <w:i/>
          <w:szCs w:val="20"/>
        </w:rPr>
        <w:t>Rock, Bone and Ruin: An Optimist’s Guide to the Historical Sciences</w:t>
      </w:r>
      <w:r w:rsidRPr="00B92E8A">
        <w:rPr>
          <w:szCs w:val="20"/>
        </w:rPr>
        <w:t xml:space="preserve"> (2018)</w:t>
      </w:r>
    </w:p>
    <w:p w14:paraId="600EFB70" w14:textId="1CFBD765" w:rsidR="00F54619" w:rsidRDefault="00F54619" w:rsidP="00F54619">
      <w:pPr>
        <w:pStyle w:val="Arial"/>
        <w:rPr>
          <w:szCs w:val="20"/>
        </w:rPr>
      </w:pPr>
      <w:r>
        <w:rPr>
          <w:szCs w:val="20"/>
        </w:rPr>
        <w:tab/>
        <w:t xml:space="preserve">Robert </w:t>
      </w:r>
      <w:r>
        <w:rPr>
          <w:szCs w:val="20"/>
        </w:rPr>
        <w:t xml:space="preserve">Chapman and </w:t>
      </w:r>
      <w:r>
        <w:rPr>
          <w:szCs w:val="20"/>
        </w:rPr>
        <w:t xml:space="preserve">Alison </w:t>
      </w:r>
      <w:r>
        <w:rPr>
          <w:szCs w:val="20"/>
        </w:rPr>
        <w:t>Wylie</w:t>
      </w:r>
      <w:r>
        <w:rPr>
          <w:szCs w:val="20"/>
        </w:rPr>
        <w:t>,</w:t>
      </w:r>
      <w:r>
        <w:rPr>
          <w:szCs w:val="20"/>
        </w:rPr>
        <w:t xml:space="preserve"> </w:t>
      </w:r>
      <w:r>
        <w:rPr>
          <w:i/>
          <w:iCs/>
          <w:szCs w:val="20"/>
        </w:rPr>
        <w:t xml:space="preserve">Evidential Reasoning in Archaeology </w:t>
      </w:r>
      <w:r>
        <w:rPr>
          <w:szCs w:val="20"/>
        </w:rPr>
        <w:t>(2016)</w:t>
      </w:r>
    </w:p>
    <w:p w14:paraId="5AEEA9A6" w14:textId="77777777" w:rsidR="00E522ED" w:rsidRDefault="00F54619" w:rsidP="00E522ED">
      <w:pPr>
        <w:pStyle w:val="Arial"/>
        <w:rPr>
          <w:szCs w:val="20"/>
        </w:rPr>
      </w:pPr>
      <w:r>
        <w:rPr>
          <w:szCs w:val="20"/>
        </w:rPr>
        <w:tab/>
      </w:r>
      <w:r w:rsidR="00E522ED">
        <w:rPr>
          <w:szCs w:val="20"/>
        </w:rPr>
        <w:t xml:space="preserve">Paul Roth, </w:t>
      </w:r>
      <w:r w:rsidR="00E522ED" w:rsidRPr="00251E66">
        <w:rPr>
          <w:i/>
          <w:iCs/>
          <w:szCs w:val="20"/>
        </w:rPr>
        <w:t>The</w:t>
      </w:r>
      <w:r w:rsidR="00E522ED">
        <w:rPr>
          <w:szCs w:val="20"/>
        </w:rPr>
        <w:t xml:space="preserve"> </w:t>
      </w:r>
      <w:r w:rsidR="00E522ED">
        <w:rPr>
          <w:i/>
          <w:iCs/>
          <w:szCs w:val="20"/>
        </w:rPr>
        <w:t xml:space="preserve">Philosophical Structure of Historical Explanation </w:t>
      </w:r>
      <w:r w:rsidR="00E522ED" w:rsidRPr="00001A04">
        <w:rPr>
          <w:szCs w:val="20"/>
        </w:rPr>
        <w:t>(2020)</w:t>
      </w:r>
    </w:p>
    <w:p w14:paraId="3E6A6E85" w14:textId="4353800A" w:rsidR="00F54619" w:rsidRPr="008478D8" w:rsidRDefault="00E522ED" w:rsidP="00F54619">
      <w:pPr>
        <w:pStyle w:val="Arial"/>
        <w:rPr>
          <w:szCs w:val="20"/>
        </w:rPr>
      </w:pPr>
      <w:r>
        <w:rPr>
          <w:szCs w:val="20"/>
        </w:rPr>
        <w:tab/>
      </w:r>
      <w:proofErr w:type="spellStart"/>
      <w:r w:rsidR="00F54619">
        <w:rPr>
          <w:szCs w:val="20"/>
        </w:rPr>
        <w:t>Rolph</w:t>
      </w:r>
      <w:proofErr w:type="spellEnd"/>
      <w:r w:rsidR="00F54619">
        <w:rPr>
          <w:szCs w:val="20"/>
        </w:rPr>
        <w:t xml:space="preserve">-Michel </w:t>
      </w:r>
      <w:proofErr w:type="spellStart"/>
      <w:r w:rsidR="00F54619">
        <w:rPr>
          <w:szCs w:val="20"/>
        </w:rPr>
        <w:t>Trouillot</w:t>
      </w:r>
      <w:proofErr w:type="spellEnd"/>
      <w:r w:rsidR="00F54619">
        <w:rPr>
          <w:szCs w:val="20"/>
        </w:rPr>
        <w:t>,</w:t>
      </w:r>
      <w:r w:rsidR="00F54619">
        <w:rPr>
          <w:szCs w:val="20"/>
        </w:rPr>
        <w:t xml:space="preserve"> </w:t>
      </w:r>
      <w:r w:rsidR="00F54619" w:rsidRPr="00B92E8A">
        <w:rPr>
          <w:i/>
          <w:szCs w:val="20"/>
        </w:rPr>
        <w:t>Silencing the Past</w:t>
      </w:r>
      <w:r w:rsidR="00B6661D">
        <w:rPr>
          <w:i/>
          <w:szCs w:val="20"/>
        </w:rPr>
        <w:t>: Power and the Production of History</w:t>
      </w:r>
      <w:r w:rsidR="00F54619" w:rsidRPr="00B92E8A">
        <w:rPr>
          <w:szCs w:val="20"/>
        </w:rPr>
        <w:t xml:space="preserve"> (1995)</w:t>
      </w:r>
    </w:p>
    <w:p w14:paraId="7858541C" w14:textId="3A71B795" w:rsidR="009D02A2" w:rsidRDefault="009D02A2" w:rsidP="009D02A2">
      <w:pPr>
        <w:rPr>
          <w:rFonts w:cs="Arial"/>
          <w:szCs w:val="20"/>
        </w:rPr>
      </w:pPr>
      <w:r>
        <w:rPr>
          <w:rFonts w:cs="Arial"/>
          <w:szCs w:val="20"/>
        </w:rPr>
        <w:tab/>
      </w:r>
      <w:r>
        <w:rPr>
          <w:rFonts w:cs="Arial"/>
          <w:szCs w:val="20"/>
        </w:rPr>
        <w:t>All other readings will be available through the course website and UBC library</w:t>
      </w:r>
      <w:r>
        <w:rPr>
          <w:rFonts w:cs="Arial"/>
          <w:szCs w:val="20"/>
        </w:rPr>
        <w:t xml:space="preserve"> reserves</w:t>
      </w:r>
      <w:r>
        <w:rPr>
          <w:rFonts w:cs="Arial"/>
          <w:szCs w:val="20"/>
        </w:rPr>
        <w:t xml:space="preserve">. </w:t>
      </w:r>
    </w:p>
    <w:p w14:paraId="141EBC6F" w14:textId="77777777" w:rsidR="00F54619" w:rsidRDefault="00F54619" w:rsidP="00F54619">
      <w:pPr>
        <w:pStyle w:val="Arial"/>
        <w:rPr>
          <w:szCs w:val="20"/>
        </w:rPr>
      </w:pPr>
    </w:p>
    <w:p w14:paraId="7A2FB92D" w14:textId="34A336E5" w:rsidR="00F54619" w:rsidRPr="00D7468C" w:rsidRDefault="00F54619" w:rsidP="00F54619">
      <w:pPr>
        <w:pStyle w:val="Arial"/>
        <w:rPr>
          <w:szCs w:val="20"/>
          <w:lang w:val="en-US"/>
        </w:rPr>
      </w:pPr>
      <w:r w:rsidRPr="00D7468C">
        <w:rPr>
          <w:b/>
          <w:bCs/>
          <w:szCs w:val="20"/>
          <w:lang w:val="en-US"/>
        </w:rPr>
        <w:t>Requirements</w:t>
      </w:r>
      <w:r>
        <w:rPr>
          <w:szCs w:val="20"/>
          <w:lang w:val="en-US"/>
        </w:rPr>
        <w:t xml:space="preserve">: </w:t>
      </w:r>
      <w:r w:rsidRPr="00D7468C">
        <w:rPr>
          <w:szCs w:val="20"/>
          <w:lang w:val="en-US"/>
        </w:rPr>
        <w:t xml:space="preserve">weekly </w:t>
      </w:r>
      <w:r w:rsidR="009D02A2">
        <w:rPr>
          <w:szCs w:val="20"/>
          <w:lang w:val="en-US"/>
        </w:rPr>
        <w:t xml:space="preserve">reading </w:t>
      </w:r>
      <w:r w:rsidRPr="00D7468C">
        <w:rPr>
          <w:szCs w:val="20"/>
          <w:lang w:val="en-US"/>
        </w:rPr>
        <w:t>response posts</w:t>
      </w:r>
      <w:r w:rsidR="009D02A2">
        <w:rPr>
          <w:szCs w:val="20"/>
          <w:lang w:val="en-US"/>
        </w:rPr>
        <w:t xml:space="preserve"> and in-class presentations (50%)</w:t>
      </w:r>
      <w:r w:rsidRPr="00D7468C">
        <w:rPr>
          <w:szCs w:val="20"/>
          <w:lang w:val="en-US"/>
        </w:rPr>
        <w:t xml:space="preserve">, </w:t>
      </w:r>
      <w:r w:rsidR="009D02A2">
        <w:rPr>
          <w:szCs w:val="20"/>
          <w:lang w:val="en-US"/>
        </w:rPr>
        <w:t xml:space="preserve">a short expository essay and a final </w:t>
      </w:r>
      <w:r w:rsidRPr="00D7468C">
        <w:rPr>
          <w:szCs w:val="20"/>
          <w:lang w:val="en-US"/>
        </w:rPr>
        <w:t>term paper</w:t>
      </w:r>
      <w:r w:rsidR="009D02A2">
        <w:rPr>
          <w:szCs w:val="20"/>
          <w:lang w:val="en-US"/>
        </w:rPr>
        <w:t xml:space="preserve"> (</w:t>
      </w:r>
      <w:r w:rsidR="00900E13">
        <w:rPr>
          <w:szCs w:val="20"/>
          <w:lang w:val="en-US"/>
        </w:rPr>
        <w:t>50</w:t>
      </w:r>
      <w:r w:rsidR="009D02A2">
        <w:rPr>
          <w:szCs w:val="20"/>
          <w:lang w:val="en-US"/>
        </w:rPr>
        <w:t>%)</w:t>
      </w:r>
      <w:r w:rsidRPr="00D7468C">
        <w:rPr>
          <w:szCs w:val="20"/>
          <w:lang w:val="en-US"/>
        </w:rPr>
        <w:t xml:space="preserve">. </w:t>
      </w:r>
    </w:p>
    <w:p w14:paraId="13DFDECC" w14:textId="77777777" w:rsidR="00F54619" w:rsidRPr="00D7468C" w:rsidRDefault="00F54619" w:rsidP="00F54619">
      <w:pPr>
        <w:pStyle w:val="Arial"/>
        <w:rPr>
          <w:szCs w:val="20"/>
          <w:lang w:val="en-GB"/>
        </w:rPr>
      </w:pPr>
    </w:p>
    <w:p w14:paraId="0E72FDDF" w14:textId="7A3DD888" w:rsidR="00F54619" w:rsidRPr="00D7468C" w:rsidRDefault="00F54619" w:rsidP="00F54619">
      <w:pPr>
        <w:pStyle w:val="Arial"/>
        <w:rPr>
          <w:szCs w:val="20"/>
          <w:lang w:val="en-GB"/>
        </w:rPr>
      </w:pPr>
      <w:r w:rsidRPr="00D7468C">
        <w:rPr>
          <w:b/>
          <w:bCs/>
          <w:szCs w:val="20"/>
          <w:lang w:val="en-GB"/>
        </w:rPr>
        <w:t>Prerequisites</w:t>
      </w:r>
      <w:r>
        <w:rPr>
          <w:szCs w:val="20"/>
          <w:lang w:val="en-GB"/>
        </w:rPr>
        <w:t>: no formal prerequisites but it is recommended that you have a</w:t>
      </w:r>
      <w:r w:rsidRPr="00D7468C">
        <w:rPr>
          <w:szCs w:val="20"/>
          <w:lang w:val="en-GB"/>
        </w:rPr>
        <w:t xml:space="preserve">t least one prior course in an historical science and/or in philosophy of science. Contact the instructor if you have any questions about appropriate background for this course. </w:t>
      </w:r>
    </w:p>
    <w:p w14:paraId="6C820B9B" w14:textId="77777777" w:rsidR="00F54619" w:rsidRPr="00D7468C" w:rsidRDefault="00F54619" w:rsidP="00F54619">
      <w:pPr>
        <w:pStyle w:val="Arial"/>
        <w:rPr>
          <w:szCs w:val="20"/>
          <w:lang w:val="en-GB"/>
        </w:rPr>
      </w:pPr>
    </w:p>
    <w:p w14:paraId="0242E138" w14:textId="77777777" w:rsidR="00900E13" w:rsidRPr="00D7468C" w:rsidRDefault="00F54619" w:rsidP="00900E13">
      <w:pPr>
        <w:pStyle w:val="Arial"/>
        <w:rPr>
          <w:szCs w:val="20"/>
          <w:lang w:val="en-GB"/>
        </w:rPr>
      </w:pPr>
      <w:r w:rsidRPr="00D7468C">
        <w:rPr>
          <w:b/>
          <w:bCs/>
          <w:szCs w:val="20"/>
          <w:lang w:val="en-GB"/>
        </w:rPr>
        <w:t>Graduate credit</w:t>
      </w:r>
      <w:r w:rsidRPr="00D7468C">
        <w:rPr>
          <w:szCs w:val="20"/>
          <w:lang w:val="en-GB"/>
        </w:rPr>
        <w:t xml:space="preserve">: </w:t>
      </w:r>
      <w:r w:rsidR="00900E13">
        <w:rPr>
          <w:szCs w:val="20"/>
          <w:lang w:val="en-GB"/>
        </w:rPr>
        <w:t xml:space="preserve">contact the instructor to arrange </w:t>
      </w:r>
      <w:r w:rsidR="00900E13" w:rsidRPr="00D7468C">
        <w:rPr>
          <w:szCs w:val="20"/>
          <w:lang w:val="en-GB"/>
        </w:rPr>
        <w:t xml:space="preserve">graduate-level requirements </w:t>
      </w:r>
      <w:r w:rsidR="00900E13">
        <w:rPr>
          <w:szCs w:val="20"/>
          <w:lang w:val="en-GB"/>
        </w:rPr>
        <w:t>if you would like to register for 500-level credit.</w:t>
      </w:r>
      <w:r w:rsidR="00900E13" w:rsidRPr="00D7468C">
        <w:rPr>
          <w:szCs w:val="20"/>
          <w:lang w:val="en-GB"/>
        </w:rPr>
        <w:t xml:space="preserve"> Th</w:t>
      </w:r>
      <w:r w:rsidR="00900E13">
        <w:rPr>
          <w:szCs w:val="20"/>
          <w:lang w:val="en-GB"/>
        </w:rPr>
        <w:t xml:space="preserve">e request form for graduate credit </w:t>
      </w:r>
      <w:r w:rsidR="00900E13" w:rsidRPr="00D7468C">
        <w:rPr>
          <w:szCs w:val="20"/>
          <w:lang w:val="en-GB"/>
        </w:rPr>
        <w:t xml:space="preserve">must be approved before registration closes. </w:t>
      </w:r>
    </w:p>
    <w:p w14:paraId="540430F8" w14:textId="5AC6CDA0" w:rsidR="00F54619" w:rsidRPr="00D7468C" w:rsidRDefault="00F54619" w:rsidP="00F54619">
      <w:pPr>
        <w:pStyle w:val="Arial"/>
        <w:rPr>
          <w:szCs w:val="20"/>
          <w:lang w:val="en-GB"/>
        </w:rPr>
      </w:pPr>
    </w:p>
    <w:p w14:paraId="610F829A" w14:textId="59D686B6" w:rsidR="009D02A2" w:rsidRDefault="009D02A2">
      <w:pPr>
        <w:tabs>
          <w:tab w:val="clear" w:pos="360"/>
          <w:tab w:val="clear" w:pos="720"/>
        </w:tabs>
        <w:rPr>
          <w:rFonts w:cs="Arial"/>
          <w:b/>
          <w:bCs/>
          <w:sz w:val="22"/>
          <w:szCs w:val="22"/>
        </w:rPr>
      </w:pPr>
      <w:r>
        <w:rPr>
          <w:rFonts w:cs="Arial"/>
          <w:b/>
          <w:bCs/>
          <w:sz w:val="22"/>
          <w:szCs w:val="22"/>
        </w:rPr>
        <w:br w:type="page"/>
      </w:r>
    </w:p>
    <w:p w14:paraId="44082128" w14:textId="7F566702" w:rsidR="00251E66" w:rsidRDefault="00E522ED" w:rsidP="009D02A2">
      <w:pPr>
        <w:tabs>
          <w:tab w:val="clear" w:pos="360"/>
          <w:tab w:val="clear" w:pos="720"/>
        </w:tabs>
        <w:rPr>
          <w:rFonts w:cs="Arial"/>
          <w:b/>
          <w:bCs/>
          <w:szCs w:val="20"/>
          <w:lang w:val="en-US"/>
        </w:rPr>
      </w:pPr>
      <w:r>
        <w:rPr>
          <w:rFonts w:cs="Arial"/>
          <w:b/>
          <w:bCs/>
          <w:szCs w:val="20"/>
          <w:lang w:val="en-US"/>
        </w:rPr>
        <w:lastRenderedPageBreak/>
        <w:t xml:space="preserve">This is a tentative list of readings that will be assigned in the course of the term. It is subject to change; suggestions and recommendations are </w:t>
      </w:r>
      <w:r w:rsidR="00407204">
        <w:rPr>
          <w:rFonts w:cs="Arial"/>
          <w:b/>
          <w:bCs/>
          <w:szCs w:val="20"/>
          <w:lang w:val="en-US"/>
        </w:rPr>
        <w:t xml:space="preserve">most </w:t>
      </w:r>
      <w:r>
        <w:rPr>
          <w:rFonts w:cs="Arial"/>
          <w:b/>
          <w:bCs/>
          <w:szCs w:val="20"/>
          <w:lang w:val="en-US"/>
        </w:rPr>
        <w:t xml:space="preserve">welcome! </w:t>
      </w:r>
    </w:p>
    <w:p w14:paraId="449D67E3" w14:textId="77777777" w:rsidR="00251E66" w:rsidRDefault="00251E66" w:rsidP="009D02A2">
      <w:pPr>
        <w:tabs>
          <w:tab w:val="clear" w:pos="360"/>
          <w:tab w:val="clear" w:pos="720"/>
        </w:tabs>
        <w:rPr>
          <w:rFonts w:cs="Arial"/>
          <w:b/>
          <w:bCs/>
          <w:szCs w:val="20"/>
          <w:lang w:val="en-US"/>
        </w:rPr>
      </w:pPr>
    </w:p>
    <w:p w14:paraId="3937D754" w14:textId="06ECC710" w:rsidR="009D02A2" w:rsidRPr="0023164E" w:rsidRDefault="009D02A2" w:rsidP="009D02A2">
      <w:pPr>
        <w:tabs>
          <w:tab w:val="clear" w:pos="360"/>
          <w:tab w:val="clear" w:pos="720"/>
        </w:tabs>
        <w:rPr>
          <w:rFonts w:cs="Arial"/>
          <w:b/>
          <w:bCs/>
          <w:szCs w:val="20"/>
          <w:lang w:val="en-US"/>
        </w:rPr>
      </w:pPr>
      <w:r w:rsidRPr="0023164E">
        <w:rPr>
          <w:rFonts w:cs="Arial"/>
          <w:b/>
          <w:bCs/>
          <w:szCs w:val="20"/>
          <w:lang w:val="en-US"/>
        </w:rPr>
        <w:t xml:space="preserve">The status of history and </w:t>
      </w:r>
      <w:r>
        <w:rPr>
          <w:rFonts w:cs="Arial"/>
          <w:b/>
          <w:bCs/>
          <w:szCs w:val="20"/>
          <w:lang w:val="en-US"/>
        </w:rPr>
        <w:t xml:space="preserve">the </w:t>
      </w:r>
      <w:r w:rsidRPr="0023164E">
        <w:rPr>
          <w:rFonts w:cs="Arial"/>
          <w:b/>
          <w:bCs/>
          <w:szCs w:val="20"/>
          <w:lang w:val="en-US"/>
        </w:rPr>
        <w:t>historical science</w:t>
      </w:r>
    </w:p>
    <w:p w14:paraId="1517865A" w14:textId="05D544D1" w:rsidR="00251E66" w:rsidRPr="00251E66" w:rsidRDefault="009D02A2" w:rsidP="00251E66">
      <w:pPr>
        <w:pStyle w:val="ListParagraph"/>
        <w:numPr>
          <w:ilvl w:val="0"/>
          <w:numId w:val="20"/>
        </w:numPr>
        <w:tabs>
          <w:tab w:val="clear" w:pos="360"/>
          <w:tab w:val="clear" w:pos="720"/>
        </w:tabs>
      </w:pPr>
      <w:r w:rsidRPr="00251E66">
        <w:rPr>
          <w:rFonts w:cs="Arial"/>
          <w:szCs w:val="20"/>
          <w:lang w:val="en-US"/>
        </w:rPr>
        <w:t xml:space="preserve">Currie, </w:t>
      </w:r>
      <w:r w:rsidRPr="00251E66">
        <w:rPr>
          <w:rFonts w:cs="Arial"/>
          <w:i/>
          <w:iCs/>
          <w:szCs w:val="20"/>
          <w:lang w:val="en-US"/>
        </w:rPr>
        <w:t>Rock, Bone and Ruin</w:t>
      </w:r>
      <w:r w:rsidRPr="00251E66">
        <w:rPr>
          <w:rFonts w:cs="Arial"/>
          <w:szCs w:val="20"/>
          <w:lang w:val="en-US"/>
        </w:rPr>
        <w:t xml:space="preserve"> (2018)</w:t>
      </w:r>
      <w:r w:rsidR="00251E66" w:rsidRPr="00251E66">
        <w:rPr>
          <w:rFonts w:cs="Arial"/>
          <w:szCs w:val="20"/>
          <w:lang w:val="en-US"/>
        </w:rPr>
        <w:t xml:space="preserve">: selections to include </w:t>
      </w:r>
      <w:r w:rsidR="00251E66">
        <w:rPr>
          <w:rFonts w:cs="Arial"/>
          <w:szCs w:val="20"/>
          <w:lang w:val="en-US"/>
        </w:rPr>
        <w:t xml:space="preserve">initial </w:t>
      </w:r>
      <w:r w:rsidR="00251E66" w:rsidRPr="00251E66">
        <w:rPr>
          <w:rFonts w:cs="Arial"/>
          <w:szCs w:val="20"/>
          <w:lang w:val="en-US"/>
        </w:rPr>
        <w:t>chapters on historical skepticism</w:t>
      </w:r>
      <w:r w:rsidR="00251E66">
        <w:rPr>
          <w:rFonts w:cs="Arial"/>
          <w:szCs w:val="20"/>
          <w:lang w:val="en-US"/>
        </w:rPr>
        <w:t xml:space="preserve">, and chapters on the role of analogies and model building in the historical sciences. </w:t>
      </w:r>
    </w:p>
    <w:p w14:paraId="434610E0" w14:textId="77777777" w:rsidR="009D02A2" w:rsidRDefault="009D02A2" w:rsidP="00251E66">
      <w:pPr>
        <w:pStyle w:val="ListParagraph"/>
        <w:numPr>
          <w:ilvl w:val="0"/>
          <w:numId w:val="20"/>
        </w:numPr>
      </w:pPr>
      <w:proofErr w:type="spellStart"/>
      <w:r>
        <w:t>Bokulich</w:t>
      </w:r>
      <w:proofErr w:type="spellEnd"/>
      <w:r>
        <w:t>, “Calibration, Coherence, Consilience: Radiometric Measures of Geologic Time” (2019)</w:t>
      </w:r>
    </w:p>
    <w:p w14:paraId="5A560246" w14:textId="77777777" w:rsidR="009D02A2" w:rsidRDefault="009D02A2" w:rsidP="00251E66">
      <w:pPr>
        <w:pStyle w:val="ListParagraph"/>
        <w:numPr>
          <w:ilvl w:val="0"/>
          <w:numId w:val="20"/>
        </w:numPr>
      </w:pPr>
      <w:r>
        <w:t>Norton, “A Material Dissolution of the Problem of Induction” (2014)</w:t>
      </w:r>
    </w:p>
    <w:p w14:paraId="547D55BD" w14:textId="3D6925A0" w:rsidR="009D02A2" w:rsidRDefault="009D02A2" w:rsidP="007B560E">
      <w:pPr>
        <w:pStyle w:val="ListParagraph"/>
        <w:numPr>
          <w:ilvl w:val="0"/>
          <w:numId w:val="20"/>
        </w:numPr>
      </w:pPr>
      <w:r>
        <w:t>Chapman &amp; Wylie,</w:t>
      </w:r>
      <w:r w:rsidR="00251E66">
        <w:t xml:space="preserve"> </w:t>
      </w:r>
      <w:r w:rsidR="00251E66" w:rsidRPr="00251E66">
        <w:rPr>
          <w:i/>
        </w:rPr>
        <w:t xml:space="preserve">Evidential Reasoning in Archaeology </w:t>
      </w:r>
      <w:r w:rsidR="00251E66">
        <w:t>(2016)</w:t>
      </w:r>
      <w:r w:rsidR="00251E66">
        <w:t xml:space="preserve">: selections to include “The Paradox of Material Evidence,” </w:t>
      </w:r>
      <w:r>
        <w:t>“External Resources</w:t>
      </w:r>
      <w:r w:rsidR="00251E66">
        <w:t>,</w:t>
      </w:r>
      <w:r>
        <w:t>”</w:t>
      </w:r>
      <w:r w:rsidR="00251E66">
        <w:t xml:space="preserve"> and Reflexivity Made Concrete” </w:t>
      </w:r>
      <w:r>
        <w:t xml:space="preserve"> </w:t>
      </w:r>
    </w:p>
    <w:p w14:paraId="5EB479F2" w14:textId="77777777" w:rsidR="009D02A2" w:rsidRDefault="009D02A2" w:rsidP="00251E66">
      <w:pPr>
        <w:pStyle w:val="ListParagraph"/>
        <w:numPr>
          <w:ilvl w:val="0"/>
          <w:numId w:val="20"/>
        </w:numPr>
      </w:pPr>
      <w:r>
        <w:t xml:space="preserve">Chang, “Keeping the Fixed Points Fixed,” in </w:t>
      </w:r>
      <w:r w:rsidRPr="00251E66">
        <w:rPr>
          <w:i/>
        </w:rPr>
        <w:t>Inventing Temperature</w:t>
      </w:r>
      <w:r>
        <w:t xml:space="preserve"> (2004)</w:t>
      </w:r>
    </w:p>
    <w:p w14:paraId="4CB72B08" w14:textId="77777777" w:rsidR="009D02A2" w:rsidRDefault="009D02A2" w:rsidP="009D02A2"/>
    <w:p w14:paraId="29FA9DE3" w14:textId="77777777" w:rsidR="009D02A2" w:rsidRPr="0023164E" w:rsidRDefault="009D02A2" w:rsidP="009D02A2">
      <w:pPr>
        <w:tabs>
          <w:tab w:val="clear" w:pos="360"/>
          <w:tab w:val="clear" w:pos="720"/>
        </w:tabs>
        <w:rPr>
          <w:rFonts w:cs="Arial"/>
          <w:b/>
          <w:bCs/>
          <w:szCs w:val="20"/>
          <w:lang w:val="en-US"/>
        </w:rPr>
      </w:pPr>
      <w:r w:rsidRPr="0023164E">
        <w:rPr>
          <w:rFonts w:cs="Arial"/>
          <w:b/>
          <w:bCs/>
          <w:szCs w:val="20"/>
          <w:lang w:val="en-US"/>
        </w:rPr>
        <w:t>Historical explanation and narrative</w:t>
      </w:r>
    </w:p>
    <w:p w14:paraId="0E87C7FD" w14:textId="77777777" w:rsidR="009D02A2" w:rsidRDefault="009D02A2" w:rsidP="00251E66">
      <w:pPr>
        <w:pStyle w:val="ListParagraph"/>
        <w:numPr>
          <w:ilvl w:val="0"/>
          <w:numId w:val="21"/>
        </w:numPr>
      </w:pPr>
      <w:r>
        <w:t>Hempel, “The Function of General Laws in History” (1942/1965)</w:t>
      </w:r>
    </w:p>
    <w:p w14:paraId="4B074B19" w14:textId="77777777" w:rsidR="00251E66" w:rsidRDefault="00251E66" w:rsidP="00251E66">
      <w:pPr>
        <w:pStyle w:val="ListParagraph"/>
        <w:numPr>
          <w:ilvl w:val="0"/>
          <w:numId w:val="21"/>
        </w:numPr>
      </w:pPr>
      <w:r>
        <w:t xml:space="preserve">Collingwood, “The Logic of Question and Answer” </w:t>
      </w:r>
    </w:p>
    <w:p w14:paraId="5EAC3E4C" w14:textId="1F698AF7" w:rsidR="009D02A2" w:rsidRDefault="00251E66" w:rsidP="00251E66">
      <w:pPr>
        <w:pStyle w:val="ListParagraph"/>
        <w:numPr>
          <w:ilvl w:val="0"/>
          <w:numId w:val="21"/>
        </w:numPr>
      </w:pPr>
      <w:r>
        <w:t xml:space="preserve">Morgan &amp; Wise, </w:t>
      </w:r>
      <w:r w:rsidRPr="00251E66">
        <w:rPr>
          <w:i/>
          <w:iCs/>
        </w:rPr>
        <w:t>Narrative in Science</w:t>
      </w:r>
      <w:r>
        <w:t xml:space="preserve"> (2017): selections to include </w:t>
      </w:r>
      <w:r>
        <w:t>Beatty, “Narrative Possibility and Narrative Explanation”</w:t>
      </w:r>
      <w:r>
        <w:t xml:space="preserve">; </w:t>
      </w:r>
      <w:r w:rsidR="009D02A2">
        <w:t xml:space="preserve">Currie &amp; </w:t>
      </w:r>
      <w:proofErr w:type="spellStart"/>
      <w:r w:rsidR="009D02A2">
        <w:t>Sterelny</w:t>
      </w:r>
      <w:proofErr w:type="spellEnd"/>
      <w:r w:rsidR="009D02A2">
        <w:t xml:space="preserve">, “In </w:t>
      </w:r>
      <w:proofErr w:type="spellStart"/>
      <w:r w:rsidR="009D02A2">
        <w:t>Defense</w:t>
      </w:r>
      <w:proofErr w:type="spellEnd"/>
      <w:r w:rsidR="009D02A2">
        <w:t xml:space="preserve"> of Story Telling”</w:t>
      </w:r>
    </w:p>
    <w:p w14:paraId="63B72423" w14:textId="0BC280D1" w:rsidR="00251E66" w:rsidRDefault="00251E66" w:rsidP="00251E66">
      <w:pPr>
        <w:pStyle w:val="ListParagraph"/>
        <w:numPr>
          <w:ilvl w:val="0"/>
          <w:numId w:val="21"/>
        </w:numPr>
      </w:pPr>
      <w:r>
        <w:t xml:space="preserve">Roth, </w:t>
      </w:r>
      <w:r>
        <w:rPr>
          <w:i/>
          <w:iCs/>
        </w:rPr>
        <w:t>The Philosophical Structure of Historical Explanation</w:t>
      </w:r>
      <w:r>
        <w:t xml:space="preserve"> (2020): selections to include “Problems for Narrative Explanations” and</w:t>
      </w:r>
      <w:r>
        <w:t xml:space="preserve"> “Essentially Narrative Explanations”</w:t>
      </w:r>
    </w:p>
    <w:p w14:paraId="10DEDF06" w14:textId="77777777" w:rsidR="009D02A2" w:rsidRDefault="009D02A2" w:rsidP="009D02A2">
      <w:pPr>
        <w:rPr>
          <w:b/>
          <w:bCs/>
        </w:rPr>
      </w:pPr>
    </w:p>
    <w:p w14:paraId="511EB4DB" w14:textId="7ED091EB" w:rsidR="009D02A2" w:rsidRPr="0023164E" w:rsidRDefault="009D02A2" w:rsidP="009D02A2">
      <w:pPr>
        <w:tabs>
          <w:tab w:val="clear" w:pos="360"/>
          <w:tab w:val="clear" w:pos="720"/>
        </w:tabs>
        <w:rPr>
          <w:rFonts w:cs="Arial"/>
          <w:b/>
          <w:bCs/>
          <w:szCs w:val="20"/>
          <w:lang w:val="en-US"/>
        </w:rPr>
      </w:pPr>
      <w:r>
        <w:rPr>
          <w:rFonts w:cs="Arial"/>
          <w:b/>
          <w:bCs/>
          <w:szCs w:val="20"/>
          <w:lang w:val="en-US"/>
        </w:rPr>
        <w:t>Truth-telling</w:t>
      </w:r>
      <w:r w:rsidR="00B6661D">
        <w:rPr>
          <w:rFonts w:cs="Arial"/>
          <w:b/>
          <w:bCs/>
          <w:szCs w:val="20"/>
          <w:lang w:val="en-US"/>
        </w:rPr>
        <w:t xml:space="preserve"> and </w:t>
      </w:r>
      <w:r>
        <w:rPr>
          <w:rFonts w:cs="Arial"/>
          <w:b/>
          <w:bCs/>
          <w:szCs w:val="20"/>
          <w:lang w:val="en-US"/>
        </w:rPr>
        <w:t xml:space="preserve">objectivity </w:t>
      </w:r>
    </w:p>
    <w:p w14:paraId="7DEABC5F" w14:textId="4BEA6B1F" w:rsidR="009D02A2" w:rsidRPr="00414BFC" w:rsidRDefault="009D02A2" w:rsidP="00382E22">
      <w:pPr>
        <w:pStyle w:val="ListParagraph"/>
        <w:numPr>
          <w:ilvl w:val="0"/>
          <w:numId w:val="19"/>
        </w:numPr>
        <w:tabs>
          <w:tab w:val="clear" w:pos="360"/>
          <w:tab w:val="clear" w:pos="720"/>
        </w:tabs>
      </w:pPr>
      <w:proofErr w:type="spellStart"/>
      <w:r w:rsidRPr="00251E66">
        <w:rPr>
          <w:rFonts w:cs="Arial"/>
          <w:szCs w:val="20"/>
          <w:lang w:val="en-US"/>
        </w:rPr>
        <w:t>Trouillot</w:t>
      </w:r>
      <w:proofErr w:type="spellEnd"/>
      <w:r w:rsidRPr="00251E66">
        <w:rPr>
          <w:rFonts w:cs="Arial"/>
          <w:szCs w:val="20"/>
          <w:lang w:val="en-US"/>
        </w:rPr>
        <w:t xml:space="preserve">, </w:t>
      </w:r>
      <w:r w:rsidRPr="00251E66">
        <w:rPr>
          <w:rFonts w:cs="Arial"/>
          <w:i/>
          <w:iCs/>
          <w:szCs w:val="20"/>
          <w:lang w:val="en-US"/>
        </w:rPr>
        <w:t xml:space="preserve">Silencing the Past </w:t>
      </w:r>
      <w:r w:rsidRPr="00251E66">
        <w:rPr>
          <w:rFonts w:cs="Arial"/>
          <w:szCs w:val="20"/>
          <w:lang w:val="en-US"/>
        </w:rPr>
        <w:t>(1995/2015)</w:t>
      </w:r>
      <w:r w:rsidR="00251E66" w:rsidRPr="00251E66">
        <w:rPr>
          <w:rFonts w:cs="Arial"/>
          <w:szCs w:val="20"/>
          <w:lang w:val="en-US"/>
        </w:rPr>
        <w:t xml:space="preserve">: selections to include </w:t>
      </w:r>
      <w:r>
        <w:t>“The Power in the Story</w:t>
      </w:r>
      <w:r w:rsidR="00251E66">
        <w:t xml:space="preserve">”; </w:t>
      </w:r>
      <w:r>
        <w:t xml:space="preserve">“The Three Faces of Sans Souci,” “An Unthinkable History,” </w:t>
      </w:r>
      <w:r w:rsidRPr="00251E66">
        <w:rPr>
          <w:lang w:val="en-CA"/>
        </w:rPr>
        <w:t xml:space="preserve">“Good Day, Columbus” </w:t>
      </w:r>
    </w:p>
    <w:p w14:paraId="2A05E5A8" w14:textId="018FAC28" w:rsidR="00E522ED" w:rsidRDefault="00E522ED" w:rsidP="00251E66">
      <w:pPr>
        <w:pStyle w:val="ListParagraph"/>
        <w:numPr>
          <w:ilvl w:val="0"/>
          <w:numId w:val="19"/>
        </w:numPr>
      </w:pPr>
      <w:r>
        <w:t xml:space="preserve">Hacking, </w:t>
      </w:r>
      <w:r>
        <w:rPr>
          <w:i/>
          <w:iCs/>
        </w:rPr>
        <w:t xml:space="preserve">The Social Construction of What? </w:t>
      </w:r>
      <w:r>
        <w:t>(1999)</w:t>
      </w:r>
      <w:r>
        <w:rPr>
          <w:i/>
          <w:iCs/>
        </w:rPr>
        <w:t xml:space="preserve">: </w:t>
      </w:r>
      <w:r>
        <w:t xml:space="preserve">“Why Ask What?” </w:t>
      </w:r>
    </w:p>
    <w:p w14:paraId="70FA543C" w14:textId="5E3822F3" w:rsidR="00B6661D" w:rsidRDefault="00251E66" w:rsidP="009D02A2">
      <w:pPr>
        <w:pStyle w:val="ListParagraph"/>
        <w:numPr>
          <w:ilvl w:val="0"/>
          <w:numId w:val="19"/>
        </w:numPr>
      </w:pPr>
      <w:r>
        <w:t xml:space="preserve">Novick, </w:t>
      </w:r>
      <w:r w:rsidRPr="00251E66">
        <w:rPr>
          <w:i/>
          <w:iCs/>
        </w:rPr>
        <w:t>That Noble Dream</w:t>
      </w:r>
      <w:r w:rsidR="00E522ED">
        <w:rPr>
          <w:i/>
          <w:iCs/>
        </w:rPr>
        <w:t xml:space="preserve">” The ‘Objectivity’ Question and the American Historical Profession </w:t>
      </w:r>
      <w:r w:rsidR="00E522ED">
        <w:t xml:space="preserve">(1988): </w:t>
      </w:r>
      <w:r w:rsidR="00E522ED">
        <w:t>“Nailing Jelly to the Wall”</w:t>
      </w:r>
    </w:p>
    <w:p w14:paraId="5C0FFAE3" w14:textId="6C18AD3B" w:rsidR="00B6661D" w:rsidRPr="00B6661D" w:rsidRDefault="009D02A2" w:rsidP="009D02A2">
      <w:pPr>
        <w:pStyle w:val="ListParagraph"/>
        <w:numPr>
          <w:ilvl w:val="0"/>
          <w:numId w:val="19"/>
        </w:numPr>
      </w:pPr>
      <w:proofErr w:type="spellStart"/>
      <w:r w:rsidRPr="00B6661D">
        <w:rPr>
          <w:lang w:val="en-CA"/>
        </w:rPr>
        <w:t>Henige</w:t>
      </w:r>
      <w:proofErr w:type="spellEnd"/>
      <w:r w:rsidRPr="00B6661D">
        <w:rPr>
          <w:lang w:val="en-CA"/>
        </w:rPr>
        <w:t>, “Not Even Hearsay? Oral Narratives of the First Nations of British Columbia” (2019</w:t>
      </w:r>
      <w:r w:rsidR="00B6661D">
        <w:rPr>
          <w:lang w:val="en-CA"/>
        </w:rPr>
        <w:t>)</w:t>
      </w:r>
    </w:p>
    <w:p w14:paraId="0FA567ED" w14:textId="77777777" w:rsidR="00B6661D" w:rsidRPr="00B6661D" w:rsidRDefault="009D02A2" w:rsidP="009D02A2">
      <w:pPr>
        <w:pStyle w:val="ListParagraph"/>
        <w:numPr>
          <w:ilvl w:val="0"/>
          <w:numId w:val="19"/>
        </w:numPr>
      </w:pPr>
      <w:r w:rsidRPr="00B6661D">
        <w:rPr>
          <w:lang w:val="en-CA"/>
        </w:rPr>
        <w:t xml:space="preserve">Menzies and Martindale, “’I Was Surprised’ – Reply to David </w:t>
      </w:r>
      <w:proofErr w:type="spellStart"/>
      <w:r w:rsidRPr="00B6661D">
        <w:rPr>
          <w:lang w:val="en-CA"/>
        </w:rPr>
        <w:t>Henige</w:t>
      </w:r>
      <w:proofErr w:type="spellEnd"/>
      <w:r w:rsidRPr="00B6661D">
        <w:rPr>
          <w:lang w:val="en-CA"/>
        </w:rPr>
        <w:t>” (2019)</w:t>
      </w:r>
    </w:p>
    <w:p w14:paraId="140B8AA4" w14:textId="27B16DDB" w:rsidR="00B6661D" w:rsidRDefault="00B6661D" w:rsidP="00B6661D">
      <w:pPr>
        <w:pStyle w:val="ListParagraph"/>
        <w:numPr>
          <w:ilvl w:val="0"/>
          <w:numId w:val="19"/>
        </w:numPr>
        <w:rPr>
          <w:lang w:val="en-CA"/>
        </w:rPr>
      </w:pPr>
      <w:r>
        <w:rPr>
          <w:lang w:val="en-CA"/>
        </w:rPr>
        <w:t xml:space="preserve">Nicholas &amp; Markey, </w:t>
      </w:r>
      <w:r w:rsidR="00E522ED">
        <w:rPr>
          <w:i/>
          <w:iCs/>
          <w:lang w:val="en-CA"/>
        </w:rPr>
        <w:t xml:space="preserve">Material Evidence </w:t>
      </w:r>
      <w:r w:rsidR="00E522ED">
        <w:rPr>
          <w:lang w:val="en-CA"/>
        </w:rPr>
        <w:t>(2015)</w:t>
      </w:r>
      <w:r w:rsidR="00E522ED">
        <w:rPr>
          <w:i/>
          <w:iCs/>
          <w:lang w:val="en-CA"/>
        </w:rPr>
        <w:t xml:space="preserve">: </w:t>
      </w:r>
      <w:r>
        <w:rPr>
          <w:lang w:val="en-CA"/>
        </w:rPr>
        <w:t>“Traditional Knowledge, Archaeological Evidence, and Other Ways of Knowing”</w:t>
      </w:r>
    </w:p>
    <w:p w14:paraId="36656287" w14:textId="77777777" w:rsidR="00B6661D" w:rsidRDefault="00B6661D" w:rsidP="00B6661D">
      <w:pPr>
        <w:pStyle w:val="ListParagraph"/>
        <w:numPr>
          <w:ilvl w:val="0"/>
          <w:numId w:val="19"/>
        </w:numPr>
      </w:pPr>
      <w:r>
        <w:rPr>
          <w:lang w:val="en-CA"/>
        </w:rPr>
        <w:t xml:space="preserve">Wylie, </w:t>
      </w:r>
      <w:r>
        <w:t>“A Global Dialogue on Collaborative Archaeology” (2019)</w:t>
      </w:r>
    </w:p>
    <w:p w14:paraId="60B3A0BB" w14:textId="77777777" w:rsidR="00B6661D" w:rsidRPr="00B6661D" w:rsidRDefault="00B6661D" w:rsidP="00B6661D"/>
    <w:p w14:paraId="793407D3" w14:textId="5670EE4B" w:rsidR="00B6661D" w:rsidRPr="00B6661D" w:rsidRDefault="00B6661D" w:rsidP="00B6661D">
      <w:r>
        <w:rPr>
          <w:rFonts w:cs="Arial"/>
          <w:b/>
          <w:bCs/>
          <w:szCs w:val="20"/>
          <w:lang w:val="en-US"/>
        </w:rPr>
        <w:t xml:space="preserve">Reckoning with the past </w:t>
      </w:r>
    </w:p>
    <w:p w14:paraId="6890238D" w14:textId="091CA11D" w:rsidR="00B6661D" w:rsidRPr="00B6661D" w:rsidRDefault="00B6661D" w:rsidP="00B6661D">
      <w:pPr>
        <w:pStyle w:val="ListParagraph"/>
        <w:numPr>
          <w:ilvl w:val="0"/>
          <w:numId w:val="19"/>
        </w:numPr>
      </w:pPr>
      <w:proofErr w:type="spellStart"/>
      <w:r>
        <w:t>Trouillot</w:t>
      </w:r>
      <w:proofErr w:type="spellEnd"/>
      <w:r>
        <w:t xml:space="preserve">, </w:t>
      </w:r>
      <w:r>
        <w:rPr>
          <w:i/>
          <w:iCs/>
        </w:rPr>
        <w:t xml:space="preserve">Silencing the Past </w:t>
      </w:r>
      <w:r>
        <w:t xml:space="preserve">(1995/2015): “The Presence in the Past” </w:t>
      </w:r>
    </w:p>
    <w:p w14:paraId="1545A99B" w14:textId="7DA4ABBF" w:rsidR="00B6661D" w:rsidRPr="00B6661D" w:rsidRDefault="00B6661D" w:rsidP="00B6661D">
      <w:pPr>
        <w:pStyle w:val="ListParagraph"/>
        <w:numPr>
          <w:ilvl w:val="0"/>
          <w:numId w:val="17"/>
        </w:numPr>
        <w:rPr>
          <w:lang w:val="en-US"/>
        </w:rPr>
      </w:pPr>
      <w:r w:rsidRPr="00B6661D">
        <w:rPr>
          <w:lang w:val="en-CA"/>
        </w:rPr>
        <w:t>Roy, “Who Were These Mysterious People</w:t>
      </w:r>
      <w:r>
        <w:rPr>
          <w:lang w:val="en-CA"/>
        </w:rPr>
        <w:t>:</w:t>
      </w:r>
      <w:r w:rsidRPr="00B6661D">
        <w:rPr>
          <w:lang w:val="en-CA"/>
        </w:rPr>
        <w:t xml:space="preserve"> </w:t>
      </w:r>
      <w:proofErr w:type="spellStart"/>
      <w:r>
        <w:rPr>
          <w:lang w:val="en-CA"/>
        </w:rPr>
        <w:t>Će</w:t>
      </w:r>
      <w:r w:rsidRPr="00966134">
        <w:rPr>
          <w:lang w:val="en-US"/>
        </w:rPr>
        <w:t>sna:m</w:t>
      </w:r>
      <w:proofErr w:type="spellEnd"/>
      <w:r w:rsidRPr="00966134">
        <w:rPr>
          <w:lang w:val="en-US"/>
        </w:rPr>
        <w:t xml:space="preserve">, the </w:t>
      </w:r>
      <w:proofErr w:type="spellStart"/>
      <w:r w:rsidRPr="00966134">
        <w:rPr>
          <w:lang w:val="en-US"/>
        </w:rPr>
        <w:t>Marpole</w:t>
      </w:r>
      <w:proofErr w:type="spellEnd"/>
      <w:r w:rsidRPr="00966134">
        <w:rPr>
          <w:lang w:val="en-US"/>
        </w:rPr>
        <w:t xml:space="preserve"> Midden, and the</w:t>
      </w:r>
      <w:r>
        <w:rPr>
          <w:lang w:val="en-US"/>
        </w:rPr>
        <w:t xml:space="preserve"> </w:t>
      </w:r>
      <w:r w:rsidRPr="00B6661D">
        <w:rPr>
          <w:lang w:val="en-US"/>
        </w:rPr>
        <w:t>Dispossession of Aboriginal Lands in British Columbia</w:t>
      </w:r>
      <w:r w:rsidRPr="00B6661D">
        <w:rPr>
          <w:lang w:val="en-CA"/>
        </w:rPr>
        <w:t>” (2006)</w:t>
      </w:r>
    </w:p>
    <w:p w14:paraId="73397F51" w14:textId="04119054" w:rsidR="00B6661D" w:rsidRDefault="00B6661D" w:rsidP="00B6661D">
      <w:pPr>
        <w:pStyle w:val="ListParagraph"/>
        <w:numPr>
          <w:ilvl w:val="0"/>
          <w:numId w:val="18"/>
        </w:numPr>
      </w:pPr>
      <w:proofErr w:type="spellStart"/>
      <w:r>
        <w:t>Raibmon</w:t>
      </w:r>
      <w:proofErr w:type="spellEnd"/>
      <w:r>
        <w:t xml:space="preserve">, “Unmaking Native Space: A Genealogy of Indian Policy, Settler Practice, and the </w:t>
      </w:r>
      <w:proofErr w:type="spellStart"/>
      <w:r>
        <w:t>Microtechnologies</w:t>
      </w:r>
      <w:proofErr w:type="spellEnd"/>
      <w:r>
        <w:t xml:space="preserve"> of Dispossession” (2008)</w:t>
      </w:r>
    </w:p>
    <w:p w14:paraId="71CB9E1F" w14:textId="22DEACC8" w:rsidR="00B6661D" w:rsidRDefault="00B6661D" w:rsidP="00B6661D">
      <w:pPr>
        <w:pStyle w:val="ListParagraph"/>
        <w:numPr>
          <w:ilvl w:val="0"/>
          <w:numId w:val="19"/>
        </w:numPr>
      </w:pPr>
      <w:r>
        <w:t xml:space="preserve">Truth and Reconciliation Commission of Canada, </w:t>
      </w:r>
      <w:r>
        <w:rPr>
          <w:i/>
          <w:iCs/>
        </w:rPr>
        <w:t>Honouring the Truth, Reconciling for the Future</w:t>
      </w:r>
      <w:r w:rsidR="007F7F6A">
        <w:rPr>
          <w:i/>
          <w:iCs/>
        </w:rPr>
        <w:t>: Summary of the Final Report</w:t>
      </w:r>
      <w:r>
        <w:rPr>
          <w:i/>
          <w:iCs/>
        </w:rPr>
        <w:t xml:space="preserve"> </w:t>
      </w:r>
      <w:r>
        <w:t>(2015)</w:t>
      </w:r>
    </w:p>
    <w:p w14:paraId="1A5BCB8D" w14:textId="3131054E" w:rsidR="00B6661D" w:rsidRDefault="00B6661D" w:rsidP="00B6661D">
      <w:pPr>
        <w:pStyle w:val="ListParagraph"/>
        <w:numPr>
          <w:ilvl w:val="0"/>
          <w:numId w:val="19"/>
        </w:numPr>
      </w:pPr>
      <w:r>
        <w:t>Glen</w:t>
      </w:r>
      <w:r w:rsidRPr="00414BFC">
        <w:t xml:space="preserve"> </w:t>
      </w:r>
      <w:proofErr w:type="spellStart"/>
      <w:r>
        <w:t>Coulthard</w:t>
      </w:r>
      <w:proofErr w:type="spellEnd"/>
      <w:r>
        <w:t xml:space="preserve">, </w:t>
      </w:r>
      <w:r w:rsidRPr="00B6661D">
        <w:rPr>
          <w:i/>
          <w:iCs/>
        </w:rPr>
        <w:t>Red Skin, White Masks</w:t>
      </w:r>
      <w:r>
        <w:t xml:space="preserve"> (2014)</w:t>
      </w:r>
      <w:r w:rsidR="00E522ED">
        <w:t xml:space="preserve">: </w:t>
      </w:r>
      <w:r w:rsidR="00E522ED">
        <w:t>“Seeing Red</w:t>
      </w:r>
      <w:r w:rsidR="00E522ED">
        <w:t>”</w:t>
      </w:r>
    </w:p>
    <w:p w14:paraId="64E1737B" w14:textId="77777777" w:rsidR="00B6661D" w:rsidRPr="00B6661D" w:rsidRDefault="00B6661D" w:rsidP="00B6661D"/>
    <w:p w14:paraId="1092E7BC" w14:textId="77777777" w:rsidR="009D02A2" w:rsidRDefault="009D02A2" w:rsidP="009D02A2"/>
    <w:p w14:paraId="6ED0DCFA" w14:textId="77777777" w:rsidR="009D02A2" w:rsidRDefault="009D02A2" w:rsidP="009D02A2">
      <w:pPr>
        <w:rPr>
          <w:rFonts w:asciiTheme="minorHAnsi" w:eastAsiaTheme="minorHAnsi" w:hAnsiTheme="minorHAnsi"/>
          <w:sz w:val="24"/>
          <w:lang w:val="en-US"/>
        </w:rPr>
      </w:pPr>
    </w:p>
    <w:p w14:paraId="15FACA10" w14:textId="77777777" w:rsidR="006A7687" w:rsidRDefault="006A7687" w:rsidP="002021AF">
      <w:pPr>
        <w:rPr>
          <w:rFonts w:cs="Arial"/>
          <w:b/>
          <w:bCs/>
          <w:sz w:val="22"/>
          <w:szCs w:val="22"/>
        </w:rPr>
      </w:pPr>
    </w:p>
    <w:p w14:paraId="49DB5405" w14:textId="77777777" w:rsidR="009D02A2" w:rsidRDefault="009D02A2" w:rsidP="00B6661D">
      <w:pPr>
        <w:tabs>
          <w:tab w:val="clear" w:pos="360"/>
          <w:tab w:val="clear" w:pos="720"/>
        </w:tabs>
        <w:rPr>
          <w:rFonts w:cs="Arial"/>
          <w:b/>
          <w:bCs/>
          <w:sz w:val="22"/>
          <w:szCs w:val="22"/>
          <w:lang w:val="en-US"/>
        </w:rPr>
      </w:pPr>
    </w:p>
    <w:p w14:paraId="085C1AD9" w14:textId="77777777" w:rsidR="009D02A2" w:rsidRDefault="009D02A2" w:rsidP="00670182">
      <w:pPr>
        <w:tabs>
          <w:tab w:val="clear" w:pos="360"/>
          <w:tab w:val="clear" w:pos="720"/>
        </w:tabs>
        <w:ind w:hanging="270"/>
        <w:rPr>
          <w:rFonts w:cs="Arial"/>
          <w:b/>
          <w:bCs/>
          <w:sz w:val="22"/>
          <w:szCs w:val="22"/>
          <w:lang w:val="en-US"/>
        </w:rPr>
      </w:pPr>
    </w:p>
    <w:p w14:paraId="2D0EF75B" w14:textId="374D8A9B" w:rsidR="00C12B0E" w:rsidRPr="00F90251" w:rsidRDefault="00C75F83" w:rsidP="00F90251">
      <w:pPr>
        <w:ind w:left="720"/>
      </w:pPr>
      <w:r>
        <w:rPr>
          <w:b/>
          <w:bCs/>
          <w:szCs w:val="20"/>
        </w:rPr>
        <w:t xml:space="preserve"> </w:t>
      </w:r>
    </w:p>
    <w:sectPr w:rsidR="00C12B0E" w:rsidRPr="00F90251" w:rsidSect="00E95BD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47D9" w14:textId="77777777" w:rsidR="00280B40" w:rsidRDefault="00280B40" w:rsidP="000618F5">
      <w:r>
        <w:separator/>
      </w:r>
    </w:p>
  </w:endnote>
  <w:endnote w:type="continuationSeparator" w:id="0">
    <w:p w14:paraId="228E4981" w14:textId="77777777" w:rsidR="00280B40" w:rsidRDefault="00280B40" w:rsidP="0006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w Cen MT Condensed Extra Bold">
    <w:panose1 w:val="020B0803020202020204"/>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4901556"/>
      <w:docPartObj>
        <w:docPartGallery w:val="Page Numbers (Bottom of Page)"/>
        <w:docPartUnique/>
      </w:docPartObj>
    </w:sdtPr>
    <w:sdtEndPr>
      <w:rPr>
        <w:rStyle w:val="PageNumber"/>
      </w:rPr>
    </w:sdtEndPr>
    <w:sdtContent>
      <w:p w14:paraId="17215852" w14:textId="18D91820" w:rsidR="000618F5" w:rsidRDefault="000618F5" w:rsidP="00600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2D3BB" w14:textId="77777777" w:rsidR="000618F5" w:rsidRDefault="000618F5" w:rsidP="000618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7795497"/>
      <w:docPartObj>
        <w:docPartGallery w:val="Page Numbers (Bottom of Page)"/>
        <w:docPartUnique/>
      </w:docPartObj>
    </w:sdtPr>
    <w:sdtEndPr>
      <w:rPr>
        <w:rStyle w:val="PageNumber"/>
      </w:rPr>
    </w:sdtEndPr>
    <w:sdtContent>
      <w:p w14:paraId="6DF160B1" w14:textId="574C224F" w:rsidR="000618F5" w:rsidRDefault="000618F5" w:rsidP="00600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1DC9">
          <w:rPr>
            <w:rStyle w:val="PageNumber"/>
            <w:noProof/>
          </w:rPr>
          <w:t>3</w:t>
        </w:r>
        <w:r>
          <w:rPr>
            <w:rStyle w:val="PageNumber"/>
          </w:rPr>
          <w:fldChar w:fldCharType="end"/>
        </w:r>
      </w:p>
    </w:sdtContent>
  </w:sdt>
  <w:p w14:paraId="65830205" w14:textId="77777777" w:rsidR="000618F5" w:rsidRDefault="000618F5" w:rsidP="000618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0FD39" w14:textId="77777777" w:rsidR="00280B40" w:rsidRDefault="00280B40" w:rsidP="000618F5">
      <w:r>
        <w:separator/>
      </w:r>
    </w:p>
  </w:footnote>
  <w:footnote w:type="continuationSeparator" w:id="0">
    <w:p w14:paraId="64B78019" w14:textId="77777777" w:rsidR="00280B40" w:rsidRDefault="00280B40" w:rsidP="0006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B5D"/>
    <w:multiLevelType w:val="hybridMultilevel"/>
    <w:tmpl w:val="E0B4E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C4FB0"/>
    <w:multiLevelType w:val="hybridMultilevel"/>
    <w:tmpl w:val="965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CB9"/>
    <w:multiLevelType w:val="hybridMultilevel"/>
    <w:tmpl w:val="E834C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B33A6"/>
    <w:multiLevelType w:val="hybridMultilevel"/>
    <w:tmpl w:val="5802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07538"/>
    <w:multiLevelType w:val="hybridMultilevel"/>
    <w:tmpl w:val="7C6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826A1"/>
    <w:multiLevelType w:val="hybridMultilevel"/>
    <w:tmpl w:val="5154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60E1D"/>
    <w:multiLevelType w:val="hybridMultilevel"/>
    <w:tmpl w:val="648E2A00"/>
    <w:lvl w:ilvl="0" w:tplc="BFACAA84">
      <w:start w:val="1"/>
      <w:numFmt w:val="decimal"/>
      <w:lvlText w:val="%1."/>
      <w:lvlJc w:val="left"/>
      <w:pPr>
        <w:ind w:left="600" w:hanging="360"/>
      </w:pPr>
      <w:rPr>
        <w:rFonts w:ascii="Arial Narrow" w:eastAsia="Arial Narrow" w:hAnsi="Arial Narrow" w:hint="default"/>
        <w:spacing w:val="1"/>
        <w:w w:val="103"/>
        <w:sz w:val="19"/>
        <w:szCs w:val="19"/>
      </w:rPr>
    </w:lvl>
    <w:lvl w:ilvl="1" w:tplc="000C2AE8">
      <w:start w:val="1"/>
      <w:numFmt w:val="bullet"/>
      <w:lvlText w:val="•"/>
      <w:lvlJc w:val="left"/>
      <w:pPr>
        <w:ind w:left="700" w:hanging="180"/>
      </w:pPr>
      <w:rPr>
        <w:rFonts w:ascii="Symbol" w:eastAsia="Symbol" w:hAnsi="Symbol" w:hint="default"/>
        <w:w w:val="98"/>
        <w:sz w:val="16"/>
        <w:szCs w:val="16"/>
      </w:rPr>
    </w:lvl>
    <w:lvl w:ilvl="2" w:tplc="68842746">
      <w:start w:val="1"/>
      <w:numFmt w:val="bullet"/>
      <w:lvlText w:val="•"/>
      <w:lvlJc w:val="left"/>
      <w:pPr>
        <w:ind w:left="880" w:hanging="180"/>
      </w:pPr>
      <w:rPr>
        <w:rFonts w:ascii="Symbol" w:eastAsia="Symbol" w:hAnsi="Symbol" w:hint="default"/>
        <w:w w:val="103"/>
        <w:sz w:val="19"/>
        <w:szCs w:val="19"/>
      </w:rPr>
    </w:lvl>
    <w:lvl w:ilvl="3" w:tplc="0B284070">
      <w:start w:val="1"/>
      <w:numFmt w:val="bullet"/>
      <w:lvlText w:val="•"/>
      <w:lvlJc w:val="left"/>
      <w:pPr>
        <w:ind w:left="1972" w:hanging="180"/>
      </w:pPr>
      <w:rPr>
        <w:rFonts w:hint="default"/>
      </w:rPr>
    </w:lvl>
    <w:lvl w:ilvl="4" w:tplc="7D4659F8">
      <w:start w:val="1"/>
      <w:numFmt w:val="bullet"/>
      <w:lvlText w:val="•"/>
      <w:lvlJc w:val="left"/>
      <w:pPr>
        <w:ind w:left="3065" w:hanging="180"/>
      </w:pPr>
      <w:rPr>
        <w:rFonts w:hint="default"/>
      </w:rPr>
    </w:lvl>
    <w:lvl w:ilvl="5" w:tplc="F6082150">
      <w:start w:val="1"/>
      <w:numFmt w:val="bullet"/>
      <w:lvlText w:val="•"/>
      <w:lvlJc w:val="left"/>
      <w:pPr>
        <w:ind w:left="4157" w:hanging="180"/>
      </w:pPr>
      <w:rPr>
        <w:rFonts w:hint="default"/>
      </w:rPr>
    </w:lvl>
    <w:lvl w:ilvl="6" w:tplc="507AE34A">
      <w:start w:val="1"/>
      <w:numFmt w:val="bullet"/>
      <w:lvlText w:val="•"/>
      <w:lvlJc w:val="left"/>
      <w:pPr>
        <w:ind w:left="5250" w:hanging="180"/>
      </w:pPr>
      <w:rPr>
        <w:rFonts w:hint="default"/>
      </w:rPr>
    </w:lvl>
    <w:lvl w:ilvl="7" w:tplc="36106E6C">
      <w:start w:val="1"/>
      <w:numFmt w:val="bullet"/>
      <w:lvlText w:val="•"/>
      <w:lvlJc w:val="left"/>
      <w:pPr>
        <w:ind w:left="6342" w:hanging="180"/>
      </w:pPr>
      <w:rPr>
        <w:rFonts w:hint="default"/>
      </w:rPr>
    </w:lvl>
    <w:lvl w:ilvl="8" w:tplc="90E88366">
      <w:start w:val="1"/>
      <w:numFmt w:val="bullet"/>
      <w:lvlText w:val="•"/>
      <w:lvlJc w:val="left"/>
      <w:pPr>
        <w:ind w:left="7435" w:hanging="180"/>
      </w:pPr>
      <w:rPr>
        <w:rFonts w:hint="default"/>
      </w:rPr>
    </w:lvl>
  </w:abstractNum>
  <w:abstractNum w:abstractNumId="7" w15:restartNumberingAfterBreak="0">
    <w:nsid w:val="239F4563"/>
    <w:multiLevelType w:val="hybridMultilevel"/>
    <w:tmpl w:val="FE14D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673DF"/>
    <w:multiLevelType w:val="hybridMultilevel"/>
    <w:tmpl w:val="F14A4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B1F35"/>
    <w:multiLevelType w:val="hybridMultilevel"/>
    <w:tmpl w:val="C7A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40D0E"/>
    <w:multiLevelType w:val="hybridMultilevel"/>
    <w:tmpl w:val="041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2479"/>
    <w:multiLevelType w:val="hybridMultilevel"/>
    <w:tmpl w:val="F794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349AC"/>
    <w:multiLevelType w:val="hybridMultilevel"/>
    <w:tmpl w:val="38928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70770D"/>
    <w:multiLevelType w:val="hybridMultilevel"/>
    <w:tmpl w:val="F4C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652EE"/>
    <w:multiLevelType w:val="hybridMultilevel"/>
    <w:tmpl w:val="62F84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DF5AD7"/>
    <w:multiLevelType w:val="hybridMultilevel"/>
    <w:tmpl w:val="8C28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D1305"/>
    <w:multiLevelType w:val="hybridMultilevel"/>
    <w:tmpl w:val="D95C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218BC"/>
    <w:multiLevelType w:val="hybridMultilevel"/>
    <w:tmpl w:val="59F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477B6"/>
    <w:multiLevelType w:val="hybridMultilevel"/>
    <w:tmpl w:val="83D4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6294D"/>
    <w:multiLevelType w:val="hybridMultilevel"/>
    <w:tmpl w:val="6B8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E6DB7"/>
    <w:multiLevelType w:val="hybridMultilevel"/>
    <w:tmpl w:val="A176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A3107"/>
    <w:multiLevelType w:val="hybridMultilevel"/>
    <w:tmpl w:val="282E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8"/>
  </w:num>
  <w:num w:numId="5">
    <w:abstractNumId w:val="1"/>
  </w:num>
  <w:num w:numId="6">
    <w:abstractNumId w:val="10"/>
  </w:num>
  <w:num w:numId="7">
    <w:abstractNumId w:val="3"/>
  </w:num>
  <w:num w:numId="8">
    <w:abstractNumId w:val="5"/>
  </w:num>
  <w:num w:numId="9">
    <w:abstractNumId w:val="21"/>
  </w:num>
  <w:num w:numId="10">
    <w:abstractNumId w:val="16"/>
  </w:num>
  <w:num w:numId="11">
    <w:abstractNumId w:val="13"/>
  </w:num>
  <w:num w:numId="12">
    <w:abstractNumId w:val="9"/>
  </w:num>
  <w:num w:numId="13">
    <w:abstractNumId w:val="17"/>
  </w:num>
  <w:num w:numId="14">
    <w:abstractNumId w:val="20"/>
  </w:num>
  <w:num w:numId="15">
    <w:abstractNumId w:val="19"/>
  </w:num>
  <w:num w:numId="16">
    <w:abstractNumId w:val="4"/>
  </w:num>
  <w:num w:numId="17">
    <w:abstractNumId w:val="7"/>
  </w:num>
  <w:num w:numId="18">
    <w:abstractNumId w:val="14"/>
  </w:num>
  <w:num w:numId="19">
    <w:abstractNumId w:val="11"/>
  </w:num>
  <w:num w:numId="20">
    <w:abstractNumId w:val="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41"/>
    <w:rsid w:val="00025D85"/>
    <w:rsid w:val="00045D40"/>
    <w:rsid w:val="000618F5"/>
    <w:rsid w:val="00081144"/>
    <w:rsid w:val="000A3F73"/>
    <w:rsid w:val="00105740"/>
    <w:rsid w:val="00115C91"/>
    <w:rsid w:val="00160A4C"/>
    <w:rsid w:val="001973CA"/>
    <w:rsid w:val="001A4C29"/>
    <w:rsid w:val="001C1C0A"/>
    <w:rsid w:val="001D145C"/>
    <w:rsid w:val="001E2576"/>
    <w:rsid w:val="001F6F92"/>
    <w:rsid w:val="002021AF"/>
    <w:rsid w:val="0023164E"/>
    <w:rsid w:val="00251E66"/>
    <w:rsid w:val="00280B40"/>
    <w:rsid w:val="00297494"/>
    <w:rsid w:val="002C7132"/>
    <w:rsid w:val="002D6431"/>
    <w:rsid w:val="00382E09"/>
    <w:rsid w:val="00397EFE"/>
    <w:rsid w:val="003A74F7"/>
    <w:rsid w:val="003C3628"/>
    <w:rsid w:val="003D7C0F"/>
    <w:rsid w:val="003D7C51"/>
    <w:rsid w:val="003F3DBD"/>
    <w:rsid w:val="003F7879"/>
    <w:rsid w:val="00407204"/>
    <w:rsid w:val="00415072"/>
    <w:rsid w:val="004351EE"/>
    <w:rsid w:val="004524AA"/>
    <w:rsid w:val="00470B6A"/>
    <w:rsid w:val="0048328F"/>
    <w:rsid w:val="005108C0"/>
    <w:rsid w:val="005239AA"/>
    <w:rsid w:val="0056556F"/>
    <w:rsid w:val="005B7AE1"/>
    <w:rsid w:val="005C043D"/>
    <w:rsid w:val="005D1386"/>
    <w:rsid w:val="0060446F"/>
    <w:rsid w:val="00660496"/>
    <w:rsid w:val="00667C38"/>
    <w:rsid w:val="00670182"/>
    <w:rsid w:val="00675043"/>
    <w:rsid w:val="006827C7"/>
    <w:rsid w:val="00685059"/>
    <w:rsid w:val="006A7687"/>
    <w:rsid w:val="006C20D8"/>
    <w:rsid w:val="007130D9"/>
    <w:rsid w:val="00743A45"/>
    <w:rsid w:val="00762314"/>
    <w:rsid w:val="00795465"/>
    <w:rsid w:val="007E0A2F"/>
    <w:rsid w:val="007F134B"/>
    <w:rsid w:val="007F7F6A"/>
    <w:rsid w:val="00816371"/>
    <w:rsid w:val="008624F5"/>
    <w:rsid w:val="00880697"/>
    <w:rsid w:val="008B3AA8"/>
    <w:rsid w:val="008B6DE5"/>
    <w:rsid w:val="008D0304"/>
    <w:rsid w:val="008E0CBD"/>
    <w:rsid w:val="00900E13"/>
    <w:rsid w:val="00957A5F"/>
    <w:rsid w:val="009614FC"/>
    <w:rsid w:val="00966134"/>
    <w:rsid w:val="009833DE"/>
    <w:rsid w:val="009B3F6B"/>
    <w:rsid w:val="009B6DAF"/>
    <w:rsid w:val="009D02A2"/>
    <w:rsid w:val="009D74BE"/>
    <w:rsid w:val="009E1E1E"/>
    <w:rsid w:val="009F2E42"/>
    <w:rsid w:val="00A354ED"/>
    <w:rsid w:val="00A77FD2"/>
    <w:rsid w:val="00AA2317"/>
    <w:rsid w:val="00AA6B58"/>
    <w:rsid w:val="00AE04C8"/>
    <w:rsid w:val="00AF2179"/>
    <w:rsid w:val="00B309BD"/>
    <w:rsid w:val="00B56C97"/>
    <w:rsid w:val="00B6661D"/>
    <w:rsid w:val="00BD5937"/>
    <w:rsid w:val="00BD7D0B"/>
    <w:rsid w:val="00C12B0E"/>
    <w:rsid w:val="00C75F83"/>
    <w:rsid w:val="00C765DD"/>
    <w:rsid w:val="00CA3320"/>
    <w:rsid w:val="00CA3C55"/>
    <w:rsid w:val="00CB112C"/>
    <w:rsid w:val="00CD2F7C"/>
    <w:rsid w:val="00CE325F"/>
    <w:rsid w:val="00CE6214"/>
    <w:rsid w:val="00CF77AA"/>
    <w:rsid w:val="00D3639D"/>
    <w:rsid w:val="00D36E8F"/>
    <w:rsid w:val="00D53F1F"/>
    <w:rsid w:val="00D91B4C"/>
    <w:rsid w:val="00DD1909"/>
    <w:rsid w:val="00DF514D"/>
    <w:rsid w:val="00DF649C"/>
    <w:rsid w:val="00DF69EA"/>
    <w:rsid w:val="00E17A93"/>
    <w:rsid w:val="00E36737"/>
    <w:rsid w:val="00E467B7"/>
    <w:rsid w:val="00E522ED"/>
    <w:rsid w:val="00E61DC9"/>
    <w:rsid w:val="00E648E1"/>
    <w:rsid w:val="00E758D3"/>
    <w:rsid w:val="00E84E46"/>
    <w:rsid w:val="00E95BDE"/>
    <w:rsid w:val="00EA16C3"/>
    <w:rsid w:val="00EB3872"/>
    <w:rsid w:val="00EE4412"/>
    <w:rsid w:val="00EE7F56"/>
    <w:rsid w:val="00EF4D41"/>
    <w:rsid w:val="00F2399C"/>
    <w:rsid w:val="00F54619"/>
    <w:rsid w:val="00F90251"/>
    <w:rsid w:val="00F90368"/>
    <w:rsid w:val="00F9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F6C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loomsbury"/>
    <w:qFormat/>
    <w:rsid w:val="00A354ED"/>
    <w:pPr>
      <w:tabs>
        <w:tab w:val="left" w:pos="360"/>
        <w:tab w:val="left" w:pos="720"/>
      </w:tabs>
    </w:pPr>
    <w:rPr>
      <w:rFonts w:ascii="Arial" w:hAnsi="Arial"/>
      <w:sz w:val="20"/>
      <w:lang w:val="en-GB" w:eastAsia="en-US"/>
    </w:rPr>
  </w:style>
  <w:style w:type="paragraph" w:styleId="Heading1">
    <w:name w:val="heading 1"/>
    <w:basedOn w:val="Normal"/>
    <w:next w:val="Normal"/>
    <w:link w:val="Heading1Char"/>
    <w:uiPriority w:val="99"/>
    <w:qFormat/>
    <w:rsid w:val="00415072"/>
    <w:pPr>
      <w:keepNext/>
      <w:tabs>
        <w:tab w:val="clear" w:pos="360"/>
        <w:tab w:val="clear" w:pos="720"/>
      </w:tabs>
      <w:spacing w:before="360"/>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57AC"/>
    <w:rPr>
      <w:rFonts w:ascii="Lucida Grande" w:hAnsi="Lucida Grande"/>
      <w:sz w:val="18"/>
      <w:szCs w:val="18"/>
    </w:rPr>
  </w:style>
  <w:style w:type="character" w:customStyle="1" w:styleId="BalloonTextChar">
    <w:name w:val="Balloon Text Char"/>
    <w:link w:val="BalloonText"/>
    <w:rsid w:val="00F957AC"/>
    <w:rPr>
      <w:rFonts w:ascii="Lucida Grande" w:eastAsia="Arial" w:hAnsi="Lucida Grande" w:cs="Times New Roman"/>
      <w:sz w:val="18"/>
      <w:szCs w:val="18"/>
    </w:rPr>
  </w:style>
  <w:style w:type="character" w:customStyle="1" w:styleId="A1">
    <w:name w:val="A1"/>
    <w:uiPriority w:val="99"/>
    <w:rsid w:val="001973CA"/>
    <w:rPr>
      <w:rFonts w:ascii="Arial" w:hAnsi="Arial" w:cs="Tw Cen MT Condensed Extra Bold"/>
      <w:color w:val="auto"/>
      <w:sz w:val="20"/>
      <w:szCs w:val="20"/>
    </w:rPr>
  </w:style>
  <w:style w:type="paragraph" w:customStyle="1" w:styleId="Normal-10pt">
    <w:name w:val="Normal - 10 pt"/>
    <w:basedOn w:val="Normal"/>
    <w:qFormat/>
    <w:rsid w:val="008E0CBD"/>
  </w:style>
  <w:style w:type="character" w:styleId="Hyperlink">
    <w:name w:val="Hyperlink"/>
    <w:basedOn w:val="DefaultParagraphFont"/>
    <w:uiPriority w:val="99"/>
    <w:unhideWhenUsed/>
    <w:rsid w:val="00EF4D41"/>
    <w:rPr>
      <w:color w:val="0000FF" w:themeColor="hyperlink"/>
      <w:u w:val="single"/>
    </w:rPr>
  </w:style>
  <w:style w:type="paragraph" w:customStyle="1" w:styleId="Default">
    <w:name w:val="Default"/>
    <w:rsid w:val="002021AF"/>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25D85"/>
    <w:pPr>
      <w:ind w:left="720"/>
      <w:contextualSpacing/>
    </w:pPr>
  </w:style>
  <w:style w:type="paragraph" w:customStyle="1" w:styleId="TableParagraph">
    <w:name w:val="Table Paragraph"/>
    <w:basedOn w:val="Normal"/>
    <w:uiPriority w:val="1"/>
    <w:qFormat/>
    <w:rsid w:val="00675043"/>
    <w:pPr>
      <w:widowControl w:val="0"/>
      <w:tabs>
        <w:tab w:val="clear" w:pos="360"/>
        <w:tab w:val="clear" w:pos="720"/>
      </w:tabs>
    </w:pPr>
    <w:rPr>
      <w:rFonts w:asciiTheme="minorHAnsi" w:eastAsiaTheme="minorHAnsi" w:hAnsiTheme="minorHAnsi"/>
      <w:sz w:val="22"/>
      <w:szCs w:val="22"/>
      <w:lang w:val="en-US"/>
    </w:rPr>
  </w:style>
  <w:style w:type="character" w:customStyle="1" w:styleId="UnresolvedMention1">
    <w:name w:val="Unresolved Mention1"/>
    <w:basedOn w:val="DefaultParagraphFont"/>
    <w:uiPriority w:val="99"/>
    <w:rsid w:val="00AA6B58"/>
    <w:rPr>
      <w:color w:val="605E5C"/>
      <w:shd w:val="clear" w:color="auto" w:fill="E1DFDD"/>
    </w:rPr>
  </w:style>
  <w:style w:type="character" w:styleId="FollowedHyperlink">
    <w:name w:val="FollowedHyperlink"/>
    <w:basedOn w:val="DefaultParagraphFont"/>
    <w:uiPriority w:val="99"/>
    <w:semiHidden/>
    <w:unhideWhenUsed/>
    <w:rsid w:val="00DF69EA"/>
    <w:rPr>
      <w:color w:val="800080" w:themeColor="followedHyperlink"/>
      <w:u w:val="single"/>
    </w:rPr>
  </w:style>
  <w:style w:type="paragraph" w:styleId="Footer">
    <w:name w:val="footer"/>
    <w:basedOn w:val="Normal"/>
    <w:link w:val="FooterChar"/>
    <w:uiPriority w:val="99"/>
    <w:unhideWhenUsed/>
    <w:rsid w:val="000618F5"/>
    <w:pPr>
      <w:tabs>
        <w:tab w:val="clear" w:pos="360"/>
        <w:tab w:val="clear" w:pos="720"/>
        <w:tab w:val="center" w:pos="4680"/>
        <w:tab w:val="right" w:pos="9360"/>
      </w:tabs>
    </w:pPr>
  </w:style>
  <w:style w:type="character" w:customStyle="1" w:styleId="FooterChar">
    <w:name w:val="Footer Char"/>
    <w:basedOn w:val="DefaultParagraphFont"/>
    <w:link w:val="Footer"/>
    <w:uiPriority w:val="99"/>
    <w:rsid w:val="000618F5"/>
    <w:rPr>
      <w:rFonts w:ascii="Arial" w:hAnsi="Arial"/>
      <w:sz w:val="20"/>
      <w:lang w:val="en-GB" w:eastAsia="en-US"/>
    </w:rPr>
  </w:style>
  <w:style w:type="character" w:styleId="PageNumber">
    <w:name w:val="page number"/>
    <w:basedOn w:val="DefaultParagraphFont"/>
    <w:uiPriority w:val="99"/>
    <w:semiHidden/>
    <w:unhideWhenUsed/>
    <w:rsid w:val="000618F5"/>
  </w:style>
  <w:style w:type="character" w:customStyle="1" w:styleId="Heading1Char">
    <w:name w:val="Heading 1 Char"/>
    <w:basedOn w:val="DefaultParagraphFont"/>
    <w:link w:val="Heading1"/>
    <w:uiPriority w:val="99"/>
    <w:rsid w:val="00415072"/>
    <w:rPr>
      <w:rFonts w:ascii="Times New Roman" w:eastAsia="Times New Roman" w:hAnsi="Times New Roman" w:cs="Times New Roman"/>
      <w:b/>
      <w:szCs w:val="20"/>
      <w:lang w:eastAsia="en-US"/>
    </w:rPr>
  </w:style>
  <w:style w:type="paragraph" w:customStyle="1" w:styleId="Arial">
    <w:name w:val="Arial"/>
    <w:basedOn w:val="Normal"/>
    <w:qFormat/>
    <w:rsid w:val="00F54619"/>
    <w:pPr>
      <w:tabs>
        <w:tab w:val="left" w:pos="1080"/>
        <w:tab w:val="left" w:pos="1440"/>
      </w:tabs>
    </w:pPr>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4451">
      <w:bodyDiv w:val="1"/>
      <w:marLeft w:val="0"/>
      <w:marRight w:val="0"/>
      <w:marTop w:val="0"/>
      <w:marBottom w:val="0"/>
      <w:divBdr>
        <w:top w:val="none" w:sz="0" w:space="0" w:color="auto"/>
        <w:left w:val="none" w:sz="0" w:space="0" w:color="auto"/>
        <w:bottom w:val="none" w:sz="0" w:space="0" w:color="auto"/>
        <w:right w:val="none" w:sz="0" w:space="0" w:color="auto"/>
      </w:divBdr>
    </w:div>
    <w:div w:id="229275551">
      <w:bodyDiv w:val="1"/>
      <w:marLeft w:val="0"/>
      <w:marRight w:val="0"/>
      <w:marTop w:val="0"/>
      <w:marBottom w:val="0"/>
      <w:divBdr>
        <w:top w:val="none" w:sz="0" w:space="0" w:color="auto"/>
        <w:left w:val="none" w:sz="0" w:space="0" w:color="auto"/>
        <w:bottom w:val="none" w:sz="0" w:space="0" w:color="auto"/>
        <w:right w:val="none" w:sz="0" w:space="0" w:color="auto"/>
      </w:divBdr>
    </w:div>
    <w:div w:id="914046377">
      <w:bodyDiv w:val="1"/>
      <w:marLeft w:val="0"/>
      <w:marRight w:val="0"/>
      <w:marTop w:val="0"/>
      <w:marBottom w:val="0"/>
      <w:divBdr>
        <w:top w:val="none" w:sz="0" w:space="0" w:color="auto"/>
        <w:left w:val="none" w:sz="0" w:space="0" w:color="auto"/>
        <w:bottom w:val="none" w:sz="0" w:space="0" w:color="auto"/>
        <w:right w:val="none" w:sz="0" w:space="0" w:color="auto"/>
      </w:divBdr>
    </w:div>
    <w:div w:id="181575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on.wyli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Wylie</dc:creator>
  <cp:keywords/>
  <dc:description/>
  <cp:lastModifiedBy>Alison Wylie</cp:lastModifiedBy>
  <cp:revision>8</cp:revision>
  <cp:lastPrinted>2020-06-22T01:47:00Z</cp:lastPrinted>
  <dcterms:created xsi:type="dcterms:W3CDTF">2020-06-22T00:07:00Z</dcterms:created>
  <dcterms:modified xsi:type="dcterms:W3CDTF">2020-06-22T01:57:00Z</dcterms:modified>
</cp:coreProperties>
</file>